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14"/>
        <w:spacing w:before="106"/>
        <w:ind w:left="0" w:firstLine="0"/>
        <w:jc w:val="left"/>
        <w:rPr>
          <w:sz w:val="20"/>
        </w:rPr>
      </w:pPr>
    </w:p>
    <w:tbl>
      <w:tblPr>
        <w:tblW w:w="0" w:type="auto"/>
        <w:tblInd w:w="-851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6"/>
        <w:gridCol w:w="4110"/>
        <w:gridCol w:w="7601"/>
      </w:tblGrid>
      <w:tr>
        <w:trPr>
          <w:trHeight w:val="1365"/>
        </w:trPr>
        <w:tc>
          <w:tcPr>
            <w:tcW w:w="2976" w:type="dxa"/>
            <w:vAlign w:val="center"/>
          </w:tcPr>
          <w:p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78530" cy="1098468"/>
                  <wp:effectExtent l="0" t="0" r="0" b="6985"/>
                  <wp:docPr id="1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081" cy="1118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  <w:vAlign w:val="center"/>
          </w:tcPr>
          <w:p>
            <w:pPr>
              <w:pStyle w:val="TableParagraph"/>
              <w:spacing w:before="159"/>
              <w:ind w:left="0"/>
              <w:jc w:val="center"/>
              <w:rPr>
                <w:sz w:val="28"/>
                <w:szCs w:val="28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931403" cy="635330"/>
                  <wp:effectExtent l="0" t="0" r="0" b="0"/>
                  <wp:docPr id="3285846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6935353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0589" cy="6383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vAlign w:val="center"/>
          </w:tcPr>
          <w:p>
            <w:r>
              <w:rPr>
                <w:noProof/>
              </w:rPr>
              <w:drawing>
                <wp:inline distT="0" distB="0" distL="0" distR="0">
                  <wp:extent cx="2150110" cy="102298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0110" cy="102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ind w:left="0" w:firstLine="0"/>
        <w:jc w:val="left"/>
        <w:rPr>
          <w:sz w:val="24"/>
        </w:rPr>
      </w:pPr>
    </w:p>
    <w:p>
      <w:pPr>
        <w:pStyle w:val="14"/>
        <w:spacing w:before="4"/>
        <w:ind w:left="0" w:firstLine="0"/>
        <w:jc w:val="left"/>
        <w:rPr>
          <w:sz w:val="24"/>
        </w:rPr>
      </w:pPr>
    </w:p>
    <w:p>
      <w:pPr>
        <w:pStyle w:val="a6"/>
        <w:spacing w:before="0" w:after="0"/>
        <w:jc w:val="center"/>
        <w:rPr>
          <w:b/>
          <w:bCs/>
          <w:sz w:val="44"/>
          <w:szCs w:val="44"/>
        </w:rPr>
      </w:pPr>
      <w:r>
        <w:rPr>
          <w:b/>
          <w:bCs/>
          <w:spacing w:val="-2"/>
          <w:sz w:val="44"/>
          <w:szCs w:val="44"/>
        </w:rPr>
        <w:t>ПОЛОЖЕНИЕ</w:t>
      </w:r>
    </w:p>
    <w:p>
      <w:pPr>
        <w:jc w:val="center"/>
        <w:rPr>
          <w:b/>
          <w:sz w:val="32"/>
        </w:rPr>
      </w:pPr>
      <w:r>
        <w:rPr>
          <w:b/>
          <w:bCs/>
          <w:sz w:val="44"/>
          <w:szCs w:val="44"/>
        </w:rPr>
        <w:t>О</w:t>
      </w:r>
      <w:r>
        <w:rPr>
          <w:b/>
          <w:bCs/>
          <w:spacing w:val="-20"/>
          <w:sz w:val="44"/>
          <w:szCs w:val="44"/>
        </w:rPr>
        <w:t xml:space="preserve"> ПРОВЕДЕНИИ II МОЛОДЕЖНОЙ НАУЧНОЙ КОНФЕРЕНЦИИ МОЛОДЕЖНОЙ СЕКЦИИ РНК СИГРЭ «ЭНЕРГИЯ БУДУЩЕГО»</w:t>
      </w:r>
    </w:p>
    <w:p>
      <w:pPr>
        <w:pStyle w:val="14"/>
        <w:ind w:left="0" w:firstLine="0"/>
        <w:jc w:val="center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ind w:left="0" w:firstLine="0"/>
        <w:jc w:val="left"/>
        <w:rPr>
          <w:b/>
          <w:sz w:val="32"/>
        </w:rPr>
      </w:pPr>
    </w:p>
    <w:p>
      <w:pPr>
        <w:pStyle w:val="14"/>
        <w:spacing w:before="232"/>
        <w:ind w:left="0" w:firstLine="0"/>
        <w:jc w:val="left"/>
        <w:rPr>
          <w:b/>
          <w:sz w:val="32"/>
        </w:rPr>
      </w:pPr>
    </w:p>
    <w:p>
      <w:pPr>
        <w:pStyle w:val="14"/>
        <w:ind w:left="666" w:right="664" w:firstLine="0"/>
        <w:jc w:val="center"/>
      </w:pPr>
    </w:p>
    <w:p>
      <w:pPr>
        <w:pStyle w:val="14"/>
        <w:ind w:left="666" w:right="664" w:firstLine="0"/>
        <w:jc w:val="center"/>
        <w:rPr>
          <w:spacing w:val="-4"/>
        </w:rPr>
      </w:pPr>
    </w:p>
    <w:p>
      <w:pPr>
        <w:pStyle w:val="14"/>
        <w:ind w:left="666" w:right="664" w:firstLine="0"/>
        <w:jc w:val="center"/>
        <w:rPr>
          <w:spacing w:val="-4"/>
        </w:rPr>
      </w:pPr>
    </w:p>
    <w:p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lastRenderedPageBreak/>
        <w:t>1. Общие положения</w:t>
      </w:r>
    </w:p>
    <w:p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highlight w:val="white"/>
        </w:rPr>
        <w:t xml:space="preserve">1.1. Настоящее Положение определяет порядок организации и проведения в 2026 </w:t>
      </w:r>
      <w:r>
        <w:rPr>
          <w:bCs/>
          <w:color w:val="000000"/>
          <w:sz w:val="28"/>
          <w:szCs w:val="28"/>
        </w:rPr>
        <w:t>году молодежной научной конференции «Энергия будущего»</w:t>
      </w:r>
      <w:r>
        <w:rPr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(далее - Конференция).</w:t>
      </w:r>
    </w:p>
    <w:p>
      <w:pPr>
        <w:shd w:val="clear" w:color="auto" w:fill="FFFFFF"/>
        <w:ind w:firstLine="709"/>
        <w:jc w:val="both"/>
        <w:rPr>
          <w:color w:val="000000"/>
          <w:sz w:val="28"/>
          <w:szCs w:val="28"/>
          <w:highlight w:val="green"/>
        </w:rPr>
      </w:pPr>
      <w:r>
        <w:rPr>
          <w:bCs/>
          <w:color w:val="000000"/>
          <w:sz w:val="28"/>
          <w:szCs w:val="28"/>
        </w:rPr>
        <w:t xml:space="preserve">1.2. Конференция организуется ПАО «Россети Волга» совместно с Федеральным государственным бюджетным образовательным учреждением высшего образования «Чувашский государственный университет имени </w:t>
      </w:r>
      <w:r>
        <w:rPr>
          <w:bCs/>
          <w:color w:val="000000"/>
          <w:sz w:val="28"/>
          <w:szCs w:val="28"/>
        </w:rPr>
        <w:br/>
        <w:t xml:space="preserve">И.Н. Ульянова» (ФГБОУ ВО «ЧГУ»), </w:t>
      </w:r>
      <w:r>
        <w:rPr>
          <w:sz w:val="28"/>
          <w:szCs w:val="28"/>
        </w:rPr>
        <w:t>осуществляющим подготовку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электроэнергетическим и электротехническим профилям, и реализуется в очном </w:t>
      </w:r>
      <w:r>
        <w:rPr>
          <w:spacing w:val="-2"/>
          <w:sz w:val="28"/>
          <w:szCs w:val="28"/>
        </w:rPr>
        <w:t>формате.</w:t>
      </w:r>
    </w:p>
    <w:p>
      <w:pPr>
        <w:shd w:val="clear" w:color="auto" w:fill="FFFFFF"/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bCs/>
          <w:color w:val="000000"/>
          <w:sz w:val="28"/>
          <w:szCs w:val="28"/>
          <w:highlight w:val="white"/>
        </w:rPr>
        <w:t xml:space="preserve">1.3. Конференция </w:t>
      </w:r>
      <w:r>
        <w:rPr>
          <w:bCs/>
          <w:iCs/>
          <w:color w:val="000000"/>
          <w:sz w:val="28"/>
          <w:szCs w:val="28"/>
          <w:highlight w:val="white"/>
        </w:rPr>
        <w:t xml:space="preserve">проводится </w:t>
      </w:r>
      <w:r>
        <w:rPr>
          <w:bCs/>
          <w:sz w:val="28"/>
          <w:szCs w:val="28"/>
          <w:highlight w:val="white"/>
        </w:rPr>
        <w:t xml:space="preserve">в целях </w:t>
      </w:r>
      <w:r>
        <w:rPr>
          <w:color w:val="000000"/>
          <w:sz w:val="28"/>
          <w:szCs w:val="28"/>
          <w:highlight w:val="white"/>
        </w:rPr>
        <w:t>развития научного и творческого потенциала молодых исследователей в области электроэнергетики, активизации процесса обмена новыми идеями и разработками, стимулирования творческого мышления среди молодежи, привлечения молодых ученых в ГК «Россети».</w:t>
      </w:r>
    </w:p>
    <w:p>
      <w:pPr>
        <w:shd w:val="clear" w:color="auto" w:fill="FFFFFF"/>
        <w:ind w:firstLine="709"/>
        <w:jc w:val="both"/>
        <w:rPr>
          <w:sz w:val="28"/>
          <w:szCs w:val="28"/>
          <w:highlight w:val="white"/>
        </w:rPr>
      </w:pPr>
      <w:r>
        <w:rPr>
          <w:bCs/>
          <w:color w:val="000000"/>
          <w:sz w:val="28"/>
          <w:szCs w:val="28"/>
          <w:highlight w:val="white"/>
        </w:rPr>
        <w:t>1.4. Основные задачи Конкурса:</w:t>
      </w:r>
    </w:p>
    <w:p>
      <w:pPr>
        <w:numPr>
          <w:ilvl w:val="0"/>
          <w:numId w:val="11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создание условий для развития аналитического, критического и исследовательского мышления;</w:t>
      </w:r>
    </w:p>
    <w:p>
      <w:pPr>
        <w:numPr>
          <w:ilvl w:val="0"/>
          <w:numId w:val="11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популяризация научных знаний и интеллектуально-творческой деятельности;</w:t>
      </w:r>
    </w:p>
    <w:p>
      <w:pPr>
        <w:pStyle w:val="a3"/>
        <w:numPr>
          <w:ilvl w:val="0"/>
          <w:numId w:val="11"/>
        </w:numPr>
        <w:shd w:val="clear" w:color="auto" w:fill="FFFFFF"/>
        <w:ind w:left="0" w:firstLine="709"/>
        <w:jc w:val="both"/>
        <w:rPr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>привлечение студентов, аспирантов и молодых работников к научно-исследовательской деятельности;</w:t>
      </w:r>
    </w:p>
    <w:p>
      <w:pPr>
        <w:pStyle w:val="a3"/>
        <w:numPr>
          <w:ilvl w:val="0"/>
          <w:numId w:val="11"/>
        </w:numPr>
        <w:shd w:val="clear" w:color="auto" w:fill="FFFFFF"/>
        <w:ind w:left="0" w:firstLine="709"/>
        <w:contextualSpacing w:val="0"/>
        <w:jc w:val="both"/>
        <w:rPr>
          <w:color w:val="000000"/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>развитие и укрепление научных связей компаний электроэнергетики и вузов;</w:t>
      </w:r>
    </w:p>
    <w:p>
      <w:pPr>
        <w:numPr>
          <w:ilvl w:val="0"/>
          <w:numId w:val="11"/>
        </w:numPr>
        <w:shd w:val="clear" w:color="auto" w:fill="FFFFFF"/>
        <w:ind w:left="0" w:firstLine="709"/>
        <w:jc w:val="both"/>
        <w:rPr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>представление и обсуждение новейших научных результатов исследований и практических достижений в области электроэнергетики.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1.5. </w:t>
      </w:r>
      <w:r>
        <w:rPr>
          <w:sz w:val="28"/>
          <w:szCs w:val="28"/>
        </w:rPr>
        <w:t xml:space="preserve">Конференция может иметь </w:t>
      </w:r>
      <w:proofErr w:type="spellStart"/>
      <w:r>
        <w:rPr>
          <w:sz w:val="28"/>
          <w:szCs w:val="28"/>
        </w:rPr>
        <w:t>соорганизаторов</w:t>
      </w:r>
      <w:proofErr w:type="spellEnd"/>
      <w:r>
        <w:rPr>
          <w:sz w:val="28"/>
          <w:szCs w:val="28"/>
        </w:rPr>
        <w:t>, спонсоров и информационных партнеров.</w:t>
      </w:r>
    </w:p>
    <w:p>
      <w:pPr>
        <w:shd w:val="clear" w:color="auto" w:fill="FFFFFF"/>
        <w:jc w:val="both"/>
        <w:rPr>
          <w:color w:val="000000"/>
          <w:sz w:val="28"/>
          <w:szCs w:val="28"/>
          <w:highlight w:val="green"/>
        </w:rPr>
      </w:pPr>
    </w:p>
    <w:p>
      <w:pPr>
        <w:pStyle w:val="2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2. Участники конференции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Участниками конференции могут быть студенты российских и зарубежных технических вузов по электроэнергетическим и электротехническим специальностям (</w:t>
      </w:r>
      <w:proofErr w:type="spellStart"/>
      <w:r>
        <w:rPr>
          <w:sz w:val="28"/>
          <w:szCs w:val="28"/>
        </w:rPr>
        <w:t>бакалавриат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специалитет</w:t>
      </w:r>
      <w:proofErr w:type="spellEnd"/>
      <w:r>
        <w:rPr>
          <w:sz w:val="28"/>
          <w:szCs w:val="28"/>
        </w:rPr>
        <w:t xml:space="preserve">, магистратура) очной (заочной) формы обучения, аспиранты, соискатели, молодые ученые и специалисты, занимающиеся научно-техническими и прикладными исследованиями, опытно-конструкторскими и проектными работами в сфере техники и технологий в электроэнергетике, заведующие и преподаватели кафедр электроэнергетического профиля, эксперты, специалисты ведущих российских электроэнергетических компаний с государственным участием и иных электроэнергетических организаций в возрасте не старше 35 лет. Возможно участие в Конференции на условиях соавторства. 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На Конференцию могут быть приглашены в качестве слушателей учащиеся общеобразовательных учреждений - ученики «энергетических» классов, участники </w:t>
      </w:r>
      <w:proofErr w:type="spellStart"/>
      <w:r>
        <w:rPr>
          <w:sz w:val="28"/>
          <w:szCs w:val="28"/>
        </w:rPr>
        <w:t>профориентационных</w:t>
      </w:r>
      <w:proofErr w:type="spellEnd"/>
      <w:r>
        <w:rPr>
          <w:sz w:val="28"/>
          <w:szCs w:val="28"/>
        </w:rPr>
        <w:t xml:space="preserve"> мероприятий, проводимых </w:t>
      </w:r>
      <w:r>
        <w:rPr>
          <w:sz w:val="28"/>
          <w:szCs w:val="28"/>
        </w:rPr>
        <w:lastRenderedPageBreak/>
        <w:t xml:space="preserve">Организаторами Конференции в целях профориентации и формирования интереса к электроэнергетической </w:t>
      </w:r>
      <w:r>
        <w:rPr>
          <w:spacing w:val="-2"/>
          <w:sz w:val="28"/>
          <w:szCs w:val="28"/>
        </w:rPr>
        <w:t>отрасли.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2.3. Участие в конференции является добровольным и означает ознакомление и согласие автора(</w:t>
      </w:r>
      <w:proofErr w:type="spellStart"/>
      <w:r>
        <w:rPr>
          <w:color w:val="000000"/>
          <w:sz w:val="28"/>
          <w:szCs w:val="28"/>
        </w:rPr>
        <w:t>ов</w:t>
      </w:r>
      <w:proofErr w:type="spellEnd"/>
      <w:r>
        <w:rPr>
          <w:color w:val="000000"/>
          <w:sz w:val="28"/>
          <w:szCs w:val="28"/>
        </w:rPr>
        <w:t>) работ со всеми пунктами настоящего положения.</w:t>
      </w:r>
    </w:p>
    <w:p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3. Организационный</w:t>
      </w:r>
      <w:r>
        <w:rPr>
          <w:rFonts w:ascii="Times New Roman" w:hAnsi="Times New Roman" w:cs="Times New Roman"/>
          <w:i w:val="0"/>
          <w:spacing w:val="-8"/>
        </w:rPr>
        <w:t xml:space="preserve"> </w:t>
      </w:r>
      <w:r>
        <w:rPr>
          <w:rFonts w:ascii="Times New Roman" w:hAnsi="Times New Roman" w:cs="Times New Roman"/>
          <w:i w:val="0"/>
        </w:rPr>
        <w:t>комитет</w:t>
      </w:r>
      <w:r>
        <w:rPr>
          <w:rFonts w:ascii="Times New Roman" w:hAnsi="Times New Roman" w:cs="Times New Roman"/>
          <w:i w:val="0"/>
          <w:spacing w:val="-8"/>
        </w:rPr>
        <w:t xml:space="preserve"> </w:t>
      </w:r>
      <w:r>
        <w:rPr>
          <w:rFonts w:ascii="Times New Roman" w:hAnsi="Times New Roman" w:cs="Times New Roman"/>
          <w:i w:val="0"/>
          <w:spacing w:val="-2"/>
        </w:rPr>
        <w:t>и Жюри конференции</w:t>
      </w:r>
    </w:p>
    <w:p>
      <w:pPr>
        <w:tabs>
          <w:tab w:val="left" w:pos="1585"/>
        </w:tabs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3.1. Организационный комитет конференции (Оргкомитет) – общественная структура, создаваемая для координации действий и осуществления следующих мероприятий, связанных с подготовкой к проведению </w:t>
      </w:r>
      <w:r>
        <w:rPr>
          <w:spacing w:val="-2"/>
          <w:sz w:val="28"/>
          <w:szCs w:val="28"/>
        </w:rPr>
        <w:t>конференции (Приложение 2):</w:t>
      </w:r>
    </w:p>
    <w:p>
      <w:pPr>
        <w:pStyle w:val="a3"/>
        <w:numPr>
          <w:ilvl w:val="0"/>
          <w:numId w:val="17"/>
        </w:numPr>
        <w:tabs>
          <w:tab w:val="left" w:pos="158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и актуализация информационных материалов (информационное сообщение, в том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числе заявка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 участие в конференции, регистрационная форма, правила оформления докладов и т.п.), формирование списка рассылки и рассылка информационных материалов;</w:t>
      </w:r>
    </w:p>
    <w:p>
      <w:pPr>
        <w:pStyle w:val="14"/>
        <w:numPr>
          <w:ilvl w:val="0"/>
          <w:numId w:val="17"/>
        </w:numPr>
        <w:spacing w:before="1"/>
        <w:ind w:left="0" w:firstLine="709"/>
      </w:pPr>
      <w:r>
        <w:t>размещение информации о конференции на официальном сайте университета;</w:t>
      </w:r>
    </w:p>
    <w:p>
      <w:pPr>
        <w:pStyle w:val="14"/>
        <w:numPr>
          <w:ilvl w:val="0"/>
          <w:numId w:val="17"/>
        </w:numPr>
        <w:ind w:left="0" w:firstLine="709"/>
      </w:pPr>
      <w:r>
        <w:t>взаимодействие с Жюри конференции по вопросам рецензирования докладов участников конференции;</w:t>
      </w:r>
    </w:p>
    <w:p>
      <w:pPr>
        <w:pStyle w:val="14"/>
        <w:numPr>
          <w:ilvl w:val="0"/>
          <w:numId w:val="17"/>
        </w:numPr>
        <w:ind w:left="0" w:firstLine="709"/>
      </w:pPr>
      <w:r>
        <w:t>рассмотрение заявок на участие в конференции, принятие решения</w:t>
      </w:r>
      <w:r>
        <w:rPr>
          <w:spacing w:val="40"/>
        </w:rPr>
        <w:t xml:space="preserve"> </w:t>
      </w:r>
      <w:r>
        <w:t>о допуске к участию в конференции;</w:t>
      </w:r>
    </w:p>
    <w:p>
      <w:pPr>
        <w:pStyle w:val="14"/>
        <w:numPr>
          <w:ilvl w:val="0"/>
          <w:numId w:val="17"/>
        </w:numPr>
        <w:ind w:left="0" w:firstLine="709"/>
      </w:pPr>
      <w:r>
        <w:t>взаимодействие с ректоратом (деканатом), кафедрами вуза, на базе которого проводится конференция, по вопросам подготовки, организации и проведения конференции;</w:t>
      </w:r>
    </w:p>
    <w:p>
      <w:pPr>
        <w:pStyle w:val="14"/>
        <w:numPr>
          <w:ilvl w:val="0"/>
          <w:numId w:val="17"/>
        </w:numPr>
        <w:ind w:left="0" w:firstLine="709"/>
      </w:pPr>
      <w:r>
        <w:t>оформление и подготовка помещений для проведения заседаний конференции;</w:t>
      </w:r>
    </w:p>
    <w:p>
      <w:pPr>
        <w:pStyle w:val="14"/>
        <w:numPr>
          <w:ilvl w:val="0"/>
          <w:numId w:val="17"/>
        </w:numPr>
        <w:ind w:left="0" w:firstLine="709"/>
        <w:rPr>
          <w:spacing w:val="-2"/>
        </w:rPr>
      </w:pPr>
      <w:r>
        <w:t>издание</w:t>
      </w:r>
      <w:r>
        <w:rPr>
          <w:spacing w:val="-4"/>
        </w:rPr>
        <w:t xml:space="preserve"> </w:t>
      </w:r>
      <w:r>
        <w:t>сборника</w:t>
      </w:r>
      <w:r>
        <w:rPr>
          <w:spacing w:val="-6"/>
        </w:rPr>
        <w:t xml:space="preserve"> </w:t>
      </w:r>
      <w:r>
        <w:t>докладов</w:t>
      </w:r>
      <w:r>
        <w:rPr>
          <w:spacing w:val="-4"/>
        </w:rPr>
        <w:t xml:space="preserve"> </w:t>
      </w:r>
      <w:r>
        <w:rPr>
          <w:spacing w:val="-2"/>
        </w:rPr>
        <w:t>конференции;</w:t>
      </w:r>
    </w:p>
    <w:p>
      <w:pPr>
        <w:pStyle w:val="14"/>
        <w:numPr>
          <w:ilvl w:val="0"/>
          <w:numId w:val="17"/>
        </w:numPr>
        <w:ind w:left="0" w:firstLine="709"/>
        <w:rPr>
          <w:spacing w:val="-2"/>
        </w:rPr>
      </w:pPr>
      <w:r>
        <w:t>определение</w:t>
      </w:r>
      <w:r>
        <w:rPr>
          <w:spacing w:val="-1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награждение</w:t>
      </w:r>
      <w:r>
        <w:rPr>
          <w:spacing w:val="-5"/>
        </w:rPr>
        <w:t xml:space="preserve"> </w:t>
      </w:r>
      <w:r>
        <w:t>победителей</w:t>
      </w:r>
      <w:r>
        <w:rPr>
          <w:spacing w:val="-4"/>
        </w:rPr>
        <w:t xml:space="preserve"> </w:t>
      </w:r>
      <w:r>
        <w:rPr>
          <w:spacing w:val="-2"/>
        </w:rPr>
        <w:t>конференции.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Оценку работ, представленных на конференцию, осуществляет Жюри конференции, состоящее из представителей профессорско-преподавательского состава университета и работников технического блока </w:t>
      </w:r>
      <w:r>
        <w:rPr>
          <w:bCs/>
          <w:color w:val="000000"/>
          <w:sz w:val="28"/>
          <w:szCs w:val="28"/>
        </w:rPr>
        <w:t>ПАО «Россети Волга»</w:t>
      </w:r>
      <w:r>
        <w:rPr>
          <w:sz w:val="28"/>
          <w:szCs w:val="28"/>
        </w:rPr>
        <w:t>.</w:t>
      </w:r>
    </w:p>
    <w:p>
      <w:pPr>
        <w:pStyle w:val="14"/>
        <w:ind w:left="0" w:firstLine="709"/>
      </w:pPr>
      <w:r>
        <w:rPr>
          <w:spacing w:val="-2"/>
        </w:rPr>
        <w:t xml:space="preserve">3.3. Жюри конференции осуществляют </w:t>
      </w:r>
      <w:r>
        <w:t>предварительное рецензирование докладов участников конференции, поданных с заявкой на участие в конференции, выдачу по</w:t>
      </w:r>
      <w:r>
        <w:rPr>
          <w:spacing w:val="40"/>
        </w:rPr>
        <w:t xml:space="preserve"> </w:t>
      </w:r>
      <w:r>
        <w:t>ним замечаний (предложений, рекомендаций), формируют программу конференции (группировка прошедших рецензирование и редактирование докладов по научным направлениям, распределение их по секциям; назначение президиумов пленарных и секционных заседаний).</w:t>
      </w:r>
    </w:p>
    <w:p>
      <w:pPr>
        <w:pStyle w:val="14"/>
        <w:ind w:left="0" w:firstLine="709"/>
      </w:pPr>
      <w:r>
        <w:t>3.4. Для проведения конференции вузом, на базе которого проводится конференция, назначается координатор конференции, входящий в Оргкомитет и организующий его деятельность, а также определяется перечень работников и студентов вуза, которые будут реализовывать мероприятия по организации конференции.</w:t>
      </w:r>
    </w:p>
    <w:p>
      <w:pPr>
        <w:shd w:val="clear" w:color="auto" w:fill="FFFFFF"/>
        <w:jc w:val="both"/>
        <w:rPr>
          <w:sz w:val="28"/>
          <w:szCs w:val="28"/>
        </w:rPr>
      </w:pPr>
    </w:p>
    <w:p>
      <w:pPr>
        <w:shd w:val="clear" w:color="auto" w:fill="FFFFFF"/>
        <w:jc w:val="both"/>
        <w:rPr>
          <w:sz w:val="28"/>
          <w:szCs w:val="28"/>
        </w:rPr>
      </w:pPr>
    </w:p>
    <w:p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lastRenderedPageBreak/>
        <w:t>4. Этапы проведения конференции</w:t>
      </w:r>
    </w:p>
    <w:p>
      <w:pPr>
        <w:shd w:val="clear" w:color="auto" w:fill="FFFFFF"/>
        <w:tabs>
          <w:tab w:val="num" w:pos="0"/>
          <w:tab w:val="num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4.1. Конференция</w:t>
      </w:r>
      <w:r>
        <w:rPr>
          <w:color w:val="000000"/>
          <w:sz w:val="28"/>
          <w:szCs w:val="28"/>
        </w:rPr>
        <w:t xml:space="preserve"> проводится в четыре этапа:</w:t>
      </w:r>
    </w:p>
    <w:p>
      <w:pPr>
        <w:numPr>
          <w:ilvl w:val="0"/>
          <w:numId w:val="18"/>
        </w:numPr>
        <w:shd w:val="clear" w:color="auto" w:fill="FFFFFF"/>
        <w:tabs>
          <w:tab w:val="left" w:pos="850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 этап (заочный) – прием заявок и работ </w:t>
      </w:r>
      <w:r>
        <w:rPr>
          <w:sz w:val="28"/>
          <w:szCs w:val="28"/>
        </w:rPr>
        <w:t xml:space="preserve">с </w:t>
      </w:r>
      <w:r>
        <w:rPr>
          <w:color w:val="0070C0"/>
          <w:sz w:val="28"/>
          <w:szCs w:val="28"/>
        </w:rPr>
        <w:t xml:space="preserve">01 августа по 15 октября 2026 года </w:t>
      </w:r>
      <w:r>
        <w:rPr>
          <w:color w:val="000000"/>
          <w:sz w:val="28"/>
          <w:szCs w:val="28"/>
        </w:rPr>
        <w:t xml:space="preserve">(прием заявок и работ осуществляется не позднее </w:t>
      </w:r>
      <w:r>
        <w:rPr>
          <w:sz w:val="28"/>
          <w:szCs w:val="28"/>
        </w:rPr>
        <w:t>23 часов 59 минут по московскому времени 15 октября 2026 года)</w:t>
      </w:r>
      <w:r>
        <w:rPr>
          <w:color w:val="000000"/>
          <w:sz w:val="28"/>
          <w:szCs w:val="28"/>
        </w:rPr>
        <w:t>;</w:t>
      </w:r>
    </w:p>
    <w:p>
      <w:pPr>
        <w:numPr>
          <w:ilvl w:val="0"/>
          <w:numId w:val="18"/>
        </w:numPr>
        <w:shd w:val="clear" w:color="auto" w:fill="FFFFFF"/>
        <w:tabs>
          <w:tab w:val="left" w:pos="850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 этап (заочный) – оценка и отбор заявок и работ </w:t>
      </w:r>
      <w:r>
        <w:rPr>
          <w:sz w:val="28"/>
          <w:szCs w:val="28"/>
        </w:rPr>
        <w:t xml:space="preserve">с </w:t>
      </w:r>
      <w:r>
        <w:rPr>
          <w:color w:val="0070C0"/>
          <w:sz w:val="28"/>
          <w:szCs w:val="28"/>
        </w:rPr>
        <w:t xml:space="preserve">15 октября по </w:t>
      </w:r>
      <w:r>
        <w:rPr>
          <w:color w:val="0070C0"/>
          <w:sz w:val="28"/>
          <w:szCs w:val="28"/>
        </w:rPr>
        <w:br/>
        <w:t>30 октября 2026 года</w:t>
      </w:r>
      <w:r>
        <w:rPr>
          <w:color w:val="000000"/>
          <w:sz w:val="28"/>
          <w:szCs w:val="28"/>
        </w:rPr>
        <w:t xml:space="preserve"> (включительно);</w:t>
      </w:r>
    </w:p>
    <w:p>
      <w:pPr>
        <w:numPr>
          <w:ilvl w:val="0"/>
          <w:numId w:val="18"/>
        </w:numPr>
        <w:shd w:val="clear" w:color="auto" w:fill="FFFFFF"/>
        <w:tabs>
          <w:tab w:val="left" w:pos="850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 этап (очный) – очная защита работ в период </w:t>
      </w:r>
      <w:r>
        <w:rPr>
          <w:color w:val="0070C0"/>
          <w:sz w:val="28"/>
          <w:szCs w:val="28"/>
        </w:rPr>
        <w:t xml:space="preserve">с 10 по 11 ноября 2026 </w:t>
      </w:r>
      <w:r>
        <w:rPr>
          <w:color w:val="000000"/>
          <w:sz w:val="28"/>
          <w:szCs w:val="28"/>
        </w:rPr>
        <w:t xml:space="preserve">года на площадке университета </w:t>
      </w:r>
      <w:r>
        <w:rPr>
          <w:color w:val="0070C0"/>
          <w:sz w:val="28"/>
          <w:szCs w:val="28"/>
        </w:rPr>
        <w:t>(даты проведения могут быть уточнены и будут сообщены дополнительно)</w:t>
      </w:r>
      <w:r>
        <w:rPr>
          <w:color w:val="000000"/>
          <w:sz w:val="28"/>
          <w:szCs w:val="28"/>
        </w:rPr>
        <w:t>.</w:t>
      </w:r>
    </w:p>
    <w:p>
      <w:pPr>
        <w:numPr>
          <w:ilvl w:val="0"/>
          <w:numId w:val="18"/>
        </w:numPr>
        <w:shd w:val="clear" w:color="auto" w:fill="FFFFFF"/>
        <w:tabs>
          <w:tab w:val="left" w:pos="850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 этап – публикация сборника материалов конференции.</w:t>
      </w:r>
    </w:p>
    <w:p>
      <w:pPr>
        <w:shd w:val="clear" w:color="auto" w:fill="FFFFFF"/>
        <w:tabs>
          <w:tab w:val="left" w:pos="850"/>
        </w:tabs>
        <w:jc w:val="both"/>
        <w:rPr>
          <w:color w:val="000000"/>
          <w:sz w:val="28"/>
          <w:szCs w:val="28"/>
        </w:rPr>
      </w:pPr>
    </w:p>
    <w:p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5. Порядок подачи заявок и рецензирования работ участников</w:t>
      </w:r>
    </w:p>
    <w:p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5.1. </w:t>
      </w:r>
      <w:r>
        <w:rPr>
          <w:sz w:val="28"/>
          <w:szCs w:val="28"/>
        </w:rPr>
        <w:t>Форма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участия в конференции – </w:t>
      </w:r>
      <w:r>
        <w:rPr>
          <w:bCs/>
          <w:spacing w:val="-2"/>
          <w:sz w:val="28"/>
          <w:szCs w:val="28"/>
        </w:rPr>
        <w:t>очно</w:t>
      </w:r>
      <w:r>
        <w:rPr>
          <w:spacing w:val="-2"/>
          <w:sz w:val="28"/>
          <w:szCs w:val="28"/>
        </w:rPr>
        <w:t xml:space="preserve">-заочная. </w:t>
      </w:r>
      <w:r>
        <w:rPr>
          <w:sz w:val="28"/>
          <w:szCs w:val="28"/>
        </w:rPr>
        <w:t>Официальны</w:t>
      </w:r>
      <w:r>
        <w:t>й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язык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конференции</w:t>
      </w:r>
      <w:r>
        <w:t xml:space="preserve"> –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русский</w:t>
      </w:r>
      <w:r>
        <w:t xml:space="preserve">. </w:t>
      </w:r>
      <w:r>
        <w:rPr>
          <w:sz w:val="28"/>
          <w:szCs w:val="28"/>
        </w:rPr>
        <w:t>Организационный взнос не предусмотрен.</w:t>
      </w:r>
    </w:p>
    <w:p>
      <w:pPr>
        <w:shd w:val="clear" w:color="auto" w:fill="FFFFFF"/>
        <w:tabs>
          <w:tab w:val="left" w:pos="85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5.2. Один участник может подать несколько заявок с разными темами докладов, в том числе по одному научному направлению. При определении победителей конференции такие доклады рассматриваются как независимые.</w:t>
      </w:r>
    </w:p>
    <w:p>
      <w:pPr>
        <w:shd w:val="clear" w:color="auto" w:fill="FFFFFF"/>
        <w:tabs>
          <w:tab w:val="left" w:pos="85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5.3. Научные направления (секции) конференции соответствуют Исследовательским комитетам СИГРЭ:</w:t>
      </w:r>
    </w:p>
    <w:p>
      <w:pPr>
        <w:pStyle w:val="a3"/>
        <w:numPr>
          <w:ilvl w:val="0"/>
          <w:numId w:val="19"/>
        </w:numPr>
        <w:shd w:val="clear" w:color="auto" w:fill="FFFFFF"/>
        <w:tabs>
          <w:tab w:val="left" w:pos="850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B4. Системы постоянного тока и силовая электроника. Оборудование и системы постоянного тока. Оборудование и системы постоянного тока.</w:t>
      </w:r>
      <w:r>
        <w:rPr>
          <w:sz w:val="20"/>
          <w:szCs w:val="20"/>
        </w:rPr>
        <w:t xml:space="preserve"> </w:t>
      </w:r>
      <w:r>
        <w:rPr>
          <w:color w:val="000000"/>
          <w:sz w:val="28"/>
          <w:szCs w:val="28"/>
        </w:rPr>
        <w:t xml:space="preserve"> Гибкие системы передачи переменного тока (FACTS) и силовая электроника. Новые технологии и концепции систем постоянного тока и FACTS, способствующие энергетическому переходу.</w:t>
      </w:r>
    </w:p>
    <w:p>
      <w:pPr>
        <w:pStyle w:val="a3"/>
        <w:numPr>
          <w:ilvl w:val="0"/>
          <w:numId w:val="19"/>
        </w:numPr>
        <w:shd w:val="clear" w:color="auto" w:fill="FFFFFF"/>
        <w:tabs>
          <w:tab w:val="left" w:pos="850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B5. Релейная защита и автоматика. Управление знаниями в области релейной защиты, автоматики, управления, учета и мониторинга. Защита и управление в сетях с нетрадиционными источниками. </w:t>
      </w:r>
    </w:p>
    <w:p>
      <w:pPr>
        <w:pStyle w:val="a3"/>
        <w:numPr>
          <w:ilvl w:val="0"/>
          <w:numId w:val="19"/>
        </w:numPr>
        <w:shd w:val="clear" w:color="auto" w:fill="FFFFFF"/>
        <w:tabs>
          <w:tab w:val="left" w:pos="850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С6. Активные системы распределения электроэнергии и распределенные энергоресурсы. Обеспечение гибкости в распределительных сетях. Планирование и осуществление деятельности до и после 2030 года в активных распределительных системах. Стандарты, практика и технологические варианты электрификации сельской местности и промышленных предприятий. </w:t>
      </w:r>
    </w:p>
    <w:p>
      <w:pPr>
        <w:shd w:val="clear" w:color="auto" w:fill="FFFFFF"/>
        <w:tabs>
          <w:tab w:val="num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5.4. Правила оформления докладов регламентируются отдельным документом, утверждающимся Организационным комитетом конференции.</w:t>
      </w:r>
    </w:p>
    <w:p>
      <w:pPr>
        <w:shd w:val="clear" w:color="auto" w:fill="FFFFFF"/>
        <w:tabs>
          <w:tab w:val="left" w:pos="850"/>
        </w:tabs>
        <w:ind w:right="-2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5.5. Для участия в конференции необходимо </w:t>
      </w:r>
      <w:r>
        <w:rPr>
          <w:sz w:val="28"/>
          <w:szCs w:val="28"/>
        </w:rPr>
        <w:t xml:space="preserve">отправить заявку, на участие в конференции, путем заполнения формы на сайте ПАО «Россети Волга» </w:t>
      </w:r>
      <w:hyperlink r:id="rId11" w:history="1">
        <w:r>
          <w:rPr>
            <w:rStyle w:val="af3"/>
            <w:sz w:val="28"/>
          </w:rPr>
          <w:t>https://www.rossetivolga.ru/ru/o_kompanii/innovatsio/molodezh</w:t>
        </w:r>
        <w:bookmarkStart w:id="0" w:name="_GoBack"/>
        <w:bookmarkEnd w:id="0"/>
        <w:r>
          <w:rPr>
            <w:rStyle w:val="af3"/>
            <w:sz w:val="28"/>
          </w:rPr>
          <w:t>n</w:t>
        </w:r>
        <w:r>
          <w:rPr>
            <w:rStyle w:val="af3"/>
            <w:sz w:val="28"/>
          </w:rPr>
          <w:t>a/fform/</w:t>
        </w:r>
      </w:hyperlink>
      <w:r>
        <w:rPr>
          <w:sz w:val="28"/>
          <w:szCs w:val="28"/>
        </w:rPr>
        <w:t xml:space="preserve">, приложив доклад и дополнительные материалы к докладу (на усмотрение участника), либо путем отправки заполненной формы (в соответствии с Приложением 1), содержащую информацию об участниках, доклад и дополнительные материалы к докладу (на усмотрение участника) на адреса электронной почты: </w:t>
      </w:r>
      <w:hyperlink r:id="rId12" w:history="1">
        <w:r>
          <w:rPr>
            <w:rStyle w:val="af3"/>
            <w:sz w:val="28"/>
            <w:szCs w:val="28"/>
          </w:rPr>
          <w:t>case@rossetivolga.ru</w:t>
        </w:r>
      </w:hyperlink>
      <w:r>
        <w:rPr>
          <w:sz w:val="28"/>
          <w:szCs w:val="28"/>
        </w:rPr>
        <w:t xml:space="preserve"> и </w:t>
      </w:r>
      <w:hyperlink r:id="rId13" w:history="1">
        <w:r>
          <w:rPr>
            <w:rStyle w:val="af3"/>
            <w:sz w:val="28"/>
            <w:szCs w:val="28"/>
          </w:rPr>
          <w:t>russova@mail.ru</w:t>
        </w:r>
      </w:hyperlink>
      <w:r>
        <w:rPr>
          <w:sz w:val="28"/>
          <w:szCs w:val="28"/>
        </w:rPr>
        <w:t>.</w:t>
      </w:r>
    </w:p>
    <w:p>
      <w:pPr>
        <w:shd w:val="clear" w:color="auto" w:fill="FFFFFF"/>
        <w:tabs>
          <w:tab w:val="num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5.6. На любом этапе проведения конференции организаторы вправе запросить у участников дополнительные документы и (или) информацию, связанную с их заявкой.</w:t>
      </w:r>
    </w:p>
    <w:p>
      <w:pPr>
        <w:shd w:val="clear" w:color="auto" w:fill="FFFFFF"/>
        <w:tabs>
          <w:tab w:val="num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5.7. Работы оцениваются по следующим критериям:</w:t>
      </w:r>
    </w:p>
    <w:p>
      <w:pPr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Актуальность: степень важности исследования на данный момент для решения определенной проблемы, задачи или вопроса.</w:t>
      </w:r>
    </w:p>
    <w:p>
      <w:pPr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Научная новизна: доклад содержит решение новой научной задачи или новые разработки, расширяющие существующие границы знаний в электроэнергетической отрасли</w:t>
      </w:r>
    </w:p>
    <w:p>
      <w:pPr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Практическая значимость: возможность использования данных доклада в административных структурах, в реальном секторе экономики, в образовательной деятельности и т.д.</w:t>
      </w:r>
    </w:p>
    <w:p>
      <w:pPr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Ответы на вопросы: владение материалом, личный вклад автора в работу, владение терминологическим аппаратом, умение объяснить сущность явлений, процессов, делать выводы и обобщения (критерий добавляется на очном этапе защиты работ).</w:t>
      </w:r>
    </w:p>
    <w:p>
      <w:pPr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Презентация: визуальное представление работы, качество электронной презентации, ораторские способности докладчика, умение привлечь аудиторию (критерий добавляется на очном этапе защиты работ)/</w:t>
      </w:r>
    </w:p>
    <w:p>
      <w:pPr>
        <w:numPr>
          <w:ilvl w:val="0"/>
          <w:numId w:val="9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каждому из критериев выставляется оценка от 0 до 5, итоговая сумма подсчитывается путем суммирования баллов по пяти выставленным критериям.</w:t>
      </w:r>
    </w:p>
    <w:p>
      <w:pPr>
        <w:tabs>
          <w:tab w:val="left" w:pos="1432"/>
        </w:tabs>
        <w:ind w:right="135" w:firstLine="709"/>
        <w:jc w:val="both"/>
        <w:rPr>
          <w:sz w:val="28"/>
        </w:rPr>
      </w:pPr>
      <w:r>
        <w:rPr>
          <w:sz w:val="28"/>
        </w:rPr>
        <w:t>5.8. Материалы доклада, поступившие в срок и в соответствии с требованиями, определенными настоящим Положением, проходят предварительное рецензирование. Члены Жюри имеют право запрашивать у участника (соавторов) дополнительную информацию по материалам доклада.</w:t>
      </w:r>
    </w:p>
    <w:p>
      <w:pPr>
        <w:tabs>
          <w:tab w:val="left" w:pos="1806"/>
        </w:tabs>
        <w:ind w:right="138" w:firstLine="709"/>
        <w:jc w:val="both"/>
        <w:rPr>
          <w:sz w:val="28"/>
        </w:rPr>
      </w:pPr>
      <w:r>
        <w:rPr>
          <w:sz w:val="28"/>
        </w:rPr>
        <w:t>5.9. Рецензирование осуществляется квалифицированными экспертами</w:t>
      </w:r>
      <w:r>
        <w:rPr>
          <w:spacing w:val="34"/>
          <w:sz w:val="28"/>
          <w:szCs w:val="28"/>
        </w:rPr>
        <w:t xml:space="preserve"> </w:t>
      </w:r>
      <w:r>
        <w:rPr>
          <w:sz w:val="28"/>
        </w:rPr>
        <w:t>по</w:t>
      </w:r>
      <w:r>
        <w:rPr>
          <w:spacing w:val="34"/>
          <w:sz w:val="28"/>
          <w:szCs w:val="28"/>
        </w:rPr>
        <w:t xml:space="preserve"> </w:t>
      </w:r>
      <w:r>
        <w:rPr>
          <w:sz w:val="28"/>
        </w:rPr>
        <w:t>соответствующим</w:t>
      </w:r>
      <w:r>
        <w:rPr>
          <w:spacing w:val="34"/>
          <w:sz w:val="28"/>
          <w:szCs w:val="28"/>
        </w:rPr>
        <w:t xml:space="preserve"> </w:t>
      </w:r>
      <w:r>
        <w:rPr>
          <w:sz w:val="28"/>
        </w:rPr>
        <w:t>направлениям</w:t>
      </w:r>
      <w:r>
        <w:rPr>
          <w:spacing w:val="33"/>
          <w:sz w:val="28"/>
          <w:szCs w:val="28"/>
        </w:rPr>
        <w:t xml:space="preserve"> </w:t>
      </w:r>
      <w:r>
        <w:rPr>
          <w:sz w:val="28"/>
        </w:rPr>
        <w:t>(секциям)</w:t>
      </w:r>
      <w:r>
        <w:rPr>
          <w:spacing w:val="33"/>
          <w:sz w:val="28"/>
          <w:szCs w:val="28"/>
        </w:rPr>
        <w:t xml:space="preserve"> </w:t>
      </w:r>
      <w:r>
        <w:rPr>
          <w:sz w:val="28"/>
        </w:rPr>
        <w:t>конференции</w:t>
      </w:r>
      <w:r>
        <w:rPr>
          <w:spacing w:val="34"/>
          <w:sz w:val="28"/>
          <w:szCs w:val="28"/>
        </w:rPr>
        <w:t xml:space="preserve"> </w:t>
      </w:r>
      <w:r>
        <w:rPr>
          <w:sz w:val="28"/>
        </w:rPr>
        <w:t xml:space="preserve">из </w:t>
      </w:r>
      <w:r>
        <w:rPr>
          <w:sz w:val="28"/>
          <w:szCs w:val="28"/>
        </w:rPr>
        <w:t>числа сотрудников вузов и энергетических компаний.</w:t>
      </w:r>
    </w:p>
    <w:p>
      <w:pPr>
        <w:tabs>
          <w:tab w:val="left" w:pos="1544"/>
        </w:tabs>
        <w:ind w:right="134" w:firstLine="709"/>
        <w:jc w:val="both"/>
        <w:rPr>
          <w:sz w:val="28"/>
        </w:rPr>
      </w:pPr>
      <w:r>
        <w:rPr>
          <w:sz w:val="28"/>
        </w:rPr>
        <w:t>5.10. На основании рецензии членов Жюри, рассматривающих материалы доклада участника, Оргкомитет принимает решение о допуске к участию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</w:rPr>
        <w:t>в конференции. Данное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</w:rPr>
        <w:t>решение доводится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</w:rPr>
        <w:t>до участника (соавторов) по адресу электронной почты, указанному в заявке.</w:t>
      </w:r>
    </w:p>
    <w:p>
      <w:pPr>
        <w:tabs>
          <w:tab w:val="left" w:pos="1544"/>
        </w:tabs>
        <w:ind w:right="134"/>
        <w:rPr>
          <w:sz w:val="28"/>
        </w:rPr>
      </w:pPr>
    </w:p>
    <w:p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6. Определение</w:t>
      </w:r>
      <w:r>
        <w:rPr>
          <w:rFonts w:ascii="Times New Roman" w:hAnsi="Times New Roman" w:cs="Times New Roman"/>
          <w:i w:val="0"/>
          <w:spacing w:val="-11"/>
        </w:rPr>
        <w:t xml:space="preserve"> </w:t>
      </w:r>
      <w:r>
        <w:rPr>
          <w:rFonts w:ascii="Times New Roman" w:hAnsi="Times New Roman" w:cs="Times New Roman"/>
          <w:i w:val="0"/>
        </w:rPr>
        <w:t>и</w:t>
      </w:r>
      <w:r>
        <w:rPr>
          <w:rFonts w:ascii="Times New Roman" w:hAnsi="Times New Roman" w:cs="Times New Roman"/>
          <w:i w:val="0"/>
          <w:spacing w:val="-11"/>
        </w:rPr>
        <w:t xml:space="preserve"> </w:t>
      </w:r>
      <w:r>
        <w:rPr>
          <w:rFonts w:ascii="Times New Roman" w:hAnsi="Times New Roman" w:cs="Times New Roman"/>
          <w:i w:val="0"/>
        </w:rPr>
        <w:t>награждение</w:t>
      </w:r>
      <w:r>
        <w:rPr>
          <w:rFonts w:ascii="Times New Roman" w:hAnsi="Times New Roman" w:cs="Times New Roman"/>
          <w:i w:val="0"/>
          <w:spacing w:val="-9"/>
        </w:rPr>
        <w:t xml:space="preserve"> </w:t>
      </w:r>
      <w:r>
        <w:rPr>
          <w:rFonts w:ascii="Times New Roman" w:hAnsi="Times New Roman" w:cs="Times New Roman"/>
          <w:i w:val="0"/>
        </w:rPr>
        <w:t>победителей</w:t>
      </w:r>
      <w:r>
        <w:rPr>
          <w:rFonts w:ascii="Times New Roman" w:hAnsi="Times New Roman" w:cs="Times New Roman"/>
          <w:i w:val="0"/>
          <w:spacing w:val="-10"/>
        </w:rPr>
        <w:t xml:space="preserve"> </w:t>
      </w:r>
      <w:r>
        <w:rPr>
          <w:rFonts w:ascii="Times New Roman" w:hAnsi="Times New Roman" w:cs="Times New Roman"/>
          <w:i w:val="0"/>
          <w:spacing w:val="-2"/>
        </w:rPr>
        <w:t>конференции</w:t>
      </w:r>
    </w:p>
    <w:p>
      <w:pPr>
        <w:tabs>
          <w:tab w:val="left" w:pos="1487"/>
        </w:tabs>
        <w:ind w:right="135" w:firstLine="709"/>
        <w:jc w:val="both"/>
      </w:pPr>
      <w:r>
        <w:rPr>
          <w:sz w:val="28"/>
        </w:rPr>
        <w:t>6.1. Итоги конференции подводятся отдельно президиумами</w:t>
      </w:r>
      <w:r>
        <w:rPr>
          <w:sz w:val="28"/>
          <w:szCs w:val="28"/>
        </w:rPr>
        <w:t>. Все участники конференции получают сертификат участника</w:t>
      </w:r>
      <w:r>
        <w:rPr>
          <w:spacing w:val="57"/>
          <w:sz w:val="28"/>
          <w:szCs w:val="28"/>
        </w:rPr>
        <w:t xml:space="preserve"> </w:t>
      </w:r>
      <w:r>
        <w:rPr>
          <w:sz w:val="28"/>
          <w:szCs w:val="28"/>
        </w:rPr>
        <w:t>конференции.</w:t>
      </w:r>
    </w:p>
    <w:p>
      <w:pPr>
        <w:tabs>
          <w:tab w:val="left" w:pos="1449"/>
        </w:tabs>
        <w:ind w:right="137" w:firstLine="709"/>
        <w:jc w:val="both"/>
        <w:rPr>
          <w:sz w:val="28"/>
        </w:rPr>
      </w:pPr>
      <w:r>
        <w:rPr>
          <w:sz w:val="28"/>
        </w:rPr>
        <w:t>6.2. При оценке и сопоставлении докладов в целях определения победителей конференции Оргкомитет принимает во внимание и учитывает все материалы, полученные от президиума и членов Программного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</w:rPr>
        <w:t>комитета по каждому докладу.</w:t>
      </w:r>
    </w:p>
    <w:p>
      <w:pPr>
        <w:tabs>
          <w:tab w:val="left" w:pos="1396"/>
        </w:tabs>
        <w:ind w:right="135" w:firstLine="709"/>
        <w:jc w:val="both"/>
        <w:rPr>
          <w:sz w:val="28"/>
        </w:rPr>
      </w:pPr>
      <w:r>
        <w:rPr>
          <w:sz w:val="28"/>
        </w:rPr>
        <w:t xml:space="preserve">6.3. Победителями конференции признаются участники, показавшие наилучшие результаты, и докладам которых на основании результатов оценки и сопоставления присвоены порядковые номера: первый, второй и третий в </w:t>
      </w:r>
      <w:r>
        <w:rPr>
          <w:sz w:val="28"/>
        </w:rPr>
        <w:lastRenderedPageBreak/>
        <w:t>двух номинациях: «Студент» (для бакалавров, специалистов и магистрантов) и «Молодой специалист» (для молодых специалистов компаний, преподавателей и аспирантов). Победители награждаются в торжественной обстановке на закрытии конференции соответственно дипломами первой, второй и третьей степени. Оргкомитет вправе ввести дополнительные категории победителей.</w:t>
      </w:r>
    </w:p>
    <w:p>
      <w:bookmarkStart w:id="1" w:name="undefined"/>
    </w:p>
    <w:p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7. Публикация</w:t>
      </w:r>
      <w:r>
        <w:rPr>
          <w:rFonts w:ascii="Times New Roman" w:hAnsi="Times New Roman" w:cs="Times New Roman"/>
          <w:i w:val="0"/>
          <w:spacing w:val="-10"/>
        </w:rPr>
        <w:t xml:space="preserve"> </w:t>
      </w:r>
      <w:r>
        <w:rPr>
          <w:rFonts w:ascii="Times New Roman" w:hAnsi="Times New Roman" w:cs="Times New Roman"/>
          <w:i w:val="0"/>
        </w:rPr>
        <w:t>сборника докладов</w:t>
      </w:r>
      <w:r>
        <w:rPr>
          <w:rFonts w:ascii="Times New Roman" w:hAnsi="Times New Roman" w:cs="Times New Roman"/>
          <w:i w:val="0"/>
          <w:spacing w:val="-7"/>
        </w:rPr>
        <w:t xml:space="preserve"> </w:t>
      </w:r>
      <w:bookmarkEnd w:id="1"/>
      <w:r>
        <w:rPr>
          <w:rFonts w:ascii="Times New Roman" w:hAnsi="Times New Roman" w:cs="Times New Roman"/>
          <w:i w:val="0"/>
          <w:spacing w:val="-2"/>
        </w:rPr>
        <w:t>конференции</w:t>
      </w:r>
    </w:p>
    <w:p>
      <w:pPr>
        <w:tabs>
          <w:tab w:val="left" w:pos="1578"/>
        </w:tabs>
        <w:ind w:right="139" w:firstLine="709"/>
        <w:jc w:val="both"/>
        <w:rPr>
          <w:sz w:val="28"/>
        </w:rPr>
      </w:pPr>
      <w:r>
        <w:rPr>
          <w:sz w:val="28"/>
        </w:rPr>
        <w:t xml:space="preserve">7.1. Доклады участников, заявившихся на конференцию, успешно прошедшие рецензирование, но по </w:t>
      </w:r>
      <w:proofErr w:type="gramStart"/>
      <w:r>
        <w:rPr>
          <w:sz w:val="28"/>
        </w:rPr>
        <w:t>каким-либо причинам</w:t>
      </w:r>
      <w:proofErr w:type="gramEnd"/>
      <w:r>
        <w:rPr>
          <w:sz w:val="28"/>
        </w:rPr>
        <w:t xml:space="preserve"> не заслушанным на пленарных, секционных заседаниях конференции не попадают в сборник и не будут опубликованы, а также размещены в электронной базе Российского индекса научного цитирования (РИНЦ).</w:t>
      </w:r>
    </w:p>
    <w:p>
      <w:pPr>
        <w:tabs>
          <w:tab w:val="left" w:pos="1578"/>
        </w:tabs>
        <w:ind w:right="135" w:firstLine="709"/>
        <w:jc w:val="both"/>
        <w:rPr>
          <w:sz w:val="28"/>
        </w:rPr>
      </w:pPr>
      <w:r>
        <w:rPr>
          <w:sz w:val="28"/>
        </w:rPr>
        <w:t>7.2. Все доклады, соответствующие установленным требованиям, прошедшие рецензирование и обсуждение на заседаниях секций конференции, издаются в электронной версии в сборнике трудов в авторской редакции и направляются в электронную базу Российского индекса научного цитирования (РИНЦ).</w:t>
      </w:r>
    </w:p>
    <w:p>
      <w:pPr>
        <w:tabs>
          <w:tab w:val="left" w:pos="1578"/>
        </w:tabs>
        <w:ind w:right="135" w:firstLine="709"/>
        <w:jc w:val="both"/>
        <w:rPr>
          <w:sz w:val="28"/>
        </w:rPr>
      </w:pPr>
      <w:r>
        <w:rPr>
          <w:sz w:val="28"/>
        </w:rPr>
        <w:t>7.3. Оргкомитет может оказать содействие обладателям дипломов конференции в публикации материалов на основе их докладов в российских отраслевых научно-технических изданиях, в том числе в журналах, входящих в Перечень российских рецензируемых научных журналов, в которых должны быть опубликованы основные научные результаты диссертаций на соискание ученых степеней доктора и кандидата наук, утвержденный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</w:rPr>
        <w:t>Высшей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</w:rPr>
        <w:t>аттестационной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</w:rPr>
        <w:t>комиссией при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</w:rPr>
        <w:t>Министерстве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</w:rPr>
        <w:t>науки и высшего образования Российской Федерации.</w:t>
      </w:r>
    </w:p>
    <w:p>
      <w:pPr>
        <w:tabs>
          <w:tab w:val="left" w:pos="1578"/>
        </w:tabs>
        <w:ind w:right="135" w:firstLine="709"/>
        <w:jc w:val="both"/>
        <w:rPr>
          <w:sz w:val="28"/>
        </w:rPr>
      </w:pPr>
    </w:p>
    <w:p>
      <w:pPr>
        <w:pStyle w:val="TableParagraph"/>
        <w:ind w:left="0"/>
        <w:rPr>
          <w:spacing w:val="-2"/>
          <w:sz w:val="28"/>
          <w:szCs w:val="28"/>
        </w:rPr>
      </w:pPr>
    </w:p>
    <w:p>
      <w:pPr>
        <w:pStyle w:val="3"/>
        <w:jc w:val="right"/>
      </w:pPr>
      <w:r>
        <w:rPr>
          <w:sz w:val="28"/>
          <w:szCs w:val="28"/>
        </w:rPr>
        <w:br w:type="page" w:clear="all"/>
      </w:r>
      <w:r>
        <w:lastRenderedPageBreak/>
        <w:t>Приложение 1</w:t>
      </w:r>
    </w:p>
    <w:p>
      <w:pPr>
        <w:widowControl w:val="0"/>
        <w:ind w:firstLine="6237"/>
        <w:jc w:val="right"/>
      </w:pPr>
      <w:r>
        <w:t xml:space="preserve">к Положению о Конференции </w:t>
      </w:r>
    </w:p>
    <w:p>
      <w:pPr>
        <w:jc w:val="center"/>
      </w:pPr>
    </w:p>
    <w:p>
      <w:pPr>
        <w:jc w:val="center"/>
      </w:pPr>
    </w:p>
    <w:p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Форма Заявки на участие в конференции</w:t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Анкета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участника молодежной научной конференции молодежной секции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РНК СИГРЭ «Энергия Будущего»</w:t>
      </w:r>
    </w:p>
    <w:p>
      <w:pPr>
        <w:jc w:val="center"/>
        <w:rPr>
          <w:sz w:val="28"/>
          <w:szCs w:val="28"/>
        </w:rPr>
      </w:pP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Изучив Положение о молодежной научной конференции Молодежной секции РНК СИГРЭ, с условиями и требованиями Конференции </w:t>
      </w:r>
      <w:proofErr w:type="gramStart"/>
      <w:r>
        <w:rPr>
          <w:sz w:val="28"/>
          <w:szCs w:val="28"/>
        </w:rPr>
        <w:t>ознакомлен(</w:t>
      </w:r>
      <w:proofErr w:type="gramEnd"/>
      <w:r>
        <w:rPr>
          <w:sz w:val="28"/>
          <w:szCs w:val="28"/>
        </w:rPr>
        <w:t xml:space="preserve">на, </w:t>
      </w:r>
      <w:proofErr w:type="spellStart"/>
      <w:r>
        <w:rPr>
          <w:sz w:val="28"/>
          <w:szCs w:val="28"/>
        </w:rPr>
        <w:t>ны</w:t>
      </w:r>
      <w:proofErr w:type="spellEnd"/>
      <w:r>
        <w:rPr>
          <w:sz w:val="28"/>
          <w:szCs w:val="28"/>
        </w:rPr>
        <w:t xml:space="preserve">) и согласен(на, </w:t>
      </w:r>
      <w:proofErr w:type="spellStart"/>
      <w:r>
        <w:rPr>
          <w:sz w:val="28"/>
          <w:szCs w:val="28"/>
        </w:rPr>
        <w:t>ны</w:t>
      </w:r>
      <w:proofErr w:type="spellEnd"/>
      <w:r>
        <w:rPr>
          <w:sz w:val="28"/>
          <w:szCs w:val="28"/>
        </w:rPr>
        <w:t>). Достоверность представленной в составе заявки информации гарантирую(ем).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5"/>
        <w:gridCol w:w="4671"/>
      </w:tblGrid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Фамилия, имя, отчество участника(</w:t>
            </w:r>
            <w:proofErr w:type="spellStart"/>
            <w:r>
              <w:rPr>
                <w:color w:val="000000"/>
                <w:sz w:val="22"/>
                <w:szCs w:val="22"/>
              </w:rPr>
              <w:t>ов</w:t>
            </w:r>
            <w:proofErr w:type="spellEnd"/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вуза (для студентов, аспирантов)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Ученая степень / Звание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Адрес электронной почты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Телефон для связи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доклада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Направление доклада (указать):</w:t>
            </w:r>
          </w:p>
          <w:p>
            <w:pPr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–</w:t>
            </w:r>
            <w:r>
              <w:rPr>
                <w:i/>
                <w:color w:val="000000"/>
                <w:sz w:val="22"/>
                <w:szCs w:val="22"/>
              </w:rPr>
              <w:tab/>
              <w:t>B4. Системы постоянного тока и силовая электроника. Оборудование и системы постоянного тока. Оборудование и системы постоянного тока.  Гибкие системы передачи переменного тока (FACTS) и силовая электроника. Новые технологии и концепции систем постоянного тока и FACTS, способствующие энергетическому переходу.</w:t>
            </w:r>
          </w:p>
          <w:p>
            <w:pPr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–</w:t>
            </w:r>
            <w:r>
              <w:rPr>
                <w:i/>
                <w:color w:val="000000"/>
                <w:sz w:val="22"/>
                <w:szCs w:val="22"/>
              </w:rPr>
              <w:tab/>
              <w:t xml:space="preserve">B5. Релейная защита и автоматика. Управление знаниями в области релейной защиты, автоматики, управления, учета и мониторинга. Защита и управление в сетях с нетрадиционными источниками. </w:t>
            </w:r>
          </w:p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–</w:t>
            </w:r>
            <w:r>
              <w:rPr>
                <w:i/>
                <w:color w:val="000000"/>
                <w:sz w:val="22"/>
                <w:szCs w:val="22"/>
              </w:rPr>
              <w:tab/>
              <w:t>С6. Активные системы распределения электроэнергии и распределенные энергоресурсы. Обеспечение гибкости в распределительных сетях. Планирование и осуществление деятельности до и после 2030 года в активных распределительных системах. Стандарты, практика и технологические варианты электрификации сельской местности и промышленных предприятий.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Приложение: </w:t>
            </w:r>
          </w:p>
          <w:p>
            <w:pPr>
              <w:pStyle w:val="a3"/>
              <w:numPr>
                <w:ilvl w:val="0"/>
                <w:numId w:val="23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</w:t>
            </w:r>
          </w:p>
          <w:p>
            <w:pPr>
              <w:pStyle w:val="a3"/>
              <w:numPr>
                <w:ilvl w:val="0"/>
                <w:numId w:val="23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Дополнительные материалы (перечисляются)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подачи заявки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 участника(</w:t>
            </w:r>
            <w:proofErr w:type="spellStart"/>
            <w:r>
              <w:rPr>
                <w:sz w:val="28"/>
                <w:szCs w:val="28"/>
              </w:rPr>
              <w:t>ов</w:t>
            </w:r>
            <w:proofErr w:type="spellEnd"/>
            <w:r>
              <w:rPr>
                <w:sz w:val="28"/>
                <w:szCs w:val="28"/>
              </w:rPr>
              <w:t>):</w:t>
            </w:r>
          </w:p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>
      <w:pPr>
        <w:tabs>
          <w:tab w:val="right" w:pos="9000"/>
        </w:tabs>
      </w:pPr>
    </w:p>
    <w:p>
      <w:pPr>
        <w:pStyle w:val="3"/>
        <w:jc w:val="right"/>
      </w:pPr>
      <w:r>
        <w:br w:type="page" w:clear="all"/>
      </w:r>
      <w:r>
        <w:lastRenderedPageBreak/>
        <w:t>Приложение 2</w:t>
      </w:r>
    </w:p>
    <w:p>
      <w:pPr>
        <w:widowControl w:val="0"/>
        <w:ind w:left="6237"/>
        <w:jc w:val="right"/>
      </w:pPr>
      <w:r>
        <w:t>к Положению о Конференции</w:t>
      </w:r>
    </w:p>
    <w:p/>
    <w:p>
      <w:pPr>
        <w:rPr>
          <w:sz w:val="28"/>
          <w:szCs w:val="28"/>
        </w:rPr>
      </w:pPr>
    </w:p>
    <w:p>
      <w:pPr>
        <w:widowControl w:val="0"/>
        <w:jc w:val="center"/>
        <w:rPr>
          <w:rFonts w:eastAsia="Calibri"/>
          <w:b/>
          <w:spacing w:val="-4"/>
          <w:sz w:val="28"/>
          <w:szCs w:val="28"/>
        </w:rPr>
      </w:pPr>
      <w:r>
        <w:rPr>
          <w:rFonts w:eastAsia="Calibri"/>
          <w:b/>
          <w:spacing w:val="-4"/>
          <w:sz w:val="28"/>
          <w:szCs w:val="28"/>
        </w:rPr>
        <w:t>Состав организационного комитета Конференции</w:t>
      </w:r>
    </w:p>
    <w:p>
      <w:pPr>
        <w:widowControl w:val="0"/>
        <w:jc w:val="center"/>
        <w:rPr>
          <w:rFonts w:eastAsia="Calibri"/>
          <w:b/>
          <w:spacing w:val="-4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45"/>
        <w:gridCol w:w="6341"/>
      </w:tblGrid>
      <w:tr>
        <w:tc>
          <w:tcPr>
            <w:tcW w:w="3145" w:type="dxa"/>
          </w:tcPr>
          <w:p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6341" w:type="dxa"/>
          </w:tcPr>
          <w:p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Должность</w:t>
            </w:r>
          </w:p>
        </w:tc>
      </w:tr>
      <w:tr>
        <w:trPr>
          <w:trHeight w:val="698"/>
        </w:trPr>
        <w:tc>
          <w:tcPr>
            <w:tcW w:w="3145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Глубокий Алексей Юрьевич</w:t>
            </w:r>
          </w:p>
        </w:tc>
        <w:tc>
          <w:tcPr>
            <w:tcW w:w="6341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Генерального директора - главный инженер ПАО «Россети Волга», сопредседатель организационного комитета</w:t>
            </w:r>
          </w:p>
        </w:tc>
      </w:tr>
      <w:tr>
        <w:tc>
          <w:tcPr>
            <w:tcW w:w="3145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Кадышев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Николаевич</w:t>
            </w:r>
          </w:p>
        </w:tc>
        <w:tc>
          <w:tcPr>
            <w:tcW w:w="6341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Проректор по научной работе </w:t>
            </w:r>
            <w:r>
              <w:rPr>
                <w:bCs/>
                <w:color w:val="000000"/>
                <w:sz w:val="28"/>
                <w:szCs w:val="28"/>
              </w:rPr>
              <w:t>ФГБОУ ВО «ЧГУ»</w:t>
            </w:r>
            <w:r>
              <w:rPr>
                <w:sz w:val="28"/>
                <w:szCs w:val="28"/>
              </w:rPr>
              <w:t>, д.э.н., сопредседатель организационного комитета</w:t>
            </w:r>
          </w:p>
        </w:tc>
      </w:tr>
      <w:tr>
        <w:tc>
          <w:tcPr>
            <w:tcW w:w="3145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Александров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Рустам Иванович</w:t>
            </w:r>
          </w:p>
        </w:tc>
        <w:tc>
          <w:tcPr>
            <w:tcW w:w="6341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научно-техническими инновациями</w:t>
            </w:r>
            <w:r>
              <w:rPr>
                <w:bCs/>
                <w:color w:val="000000"/>
                <w:sz w:val="28"/>
                <w:szCs w:val="28"/>
              </w:rPr>
              <w:t xml:space="preserve"> ФГБОУ ВО «ЧГУ»,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к.с.н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>
        <w:tc>
          <w:tcPr>
            <w:tcW w:w="3145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Руссова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Наталия Валерьевна</w:t>
            </w:r>
          </w:p>
        </w:tc>
        <w:tc>
          <w:tcPr>
            <w:tcW w:w="6341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Декан Факультета энергетики и электротехники</w:t>
            </w:r>
            <w:r>
              <w:rPr>
                <w:bCs/>
                <w:color w:val="000000"/>
                <w:sz w:val="28"/>
                <w:szCs w:val="28"/>
              </w:rPr>
              <w:t xml:space="preserve"> ФГБОУ ВО «ЧГУ»</w:t>
            </w:r>
            <w:r>
              <w:rPr>
                <w:sz w:val="28"/>
                <w:szCs w:val="28"/>
              </w:rPr>
              <w:t>, к.т.н.</w:t>
            </w:r>
          </w:p>
        </w:tc>
      </w:tr>
      <w:tr>
        <w:tc>
          <w:tcPr>
            <w:tcW w:w="3145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Багаев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Викторович</w:t>
            </w:r>
          </w:p>
        </w:tc>
        <w:tc>
          <w:tcPr>
            <w:tcW w:w="6341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главного инженера по технологическому развитию и инновациям </w:t>
            </w:r>
            <w:r>
              <w:rPr>
                <w:sz w:val="28"/>
                <w:szCs w:val="28"/>
              </w:rPr>
              <w:br/>
              <w:t>ПАО «Россети Волга»</w:t>
            </w:r>
          </w:p>
        </w:tc>
      </w:tr>
      <w:tr>
        <w:tc>
          <w:tcPr>
            <w:tcW w:w="3145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Курюмов Ярослав Георгиевич</w:t>
            </w:r>
          </w:p>
        </w:tc>
        <w:tc>
          <w:tcPr>
            <w:tcW w:w="6341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- главный инженер филиала ПАО «Россети Волга» - «Чувашэнерго»</w:t>
            </w:r>
          </w:p>
        </w:tc>
      </w:tr>
      <w:tr>
        <w:trPr>
          <w:trHeight w:val="769"/>
        </w:trPr>
        <w:tc>
          <w:tcPr>
            <w:tcW w:w="3145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Александров </w:t>
            </w:r>
          </w:p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Сергеевич</w:t>
            </w:r>
          </w:p>
        </w:tc>
        <w:tc>
          <w:tcPr>
            <w:tcW w:w="6341" w:type="dxa"/>
          </w:tcPr>
          <w:p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департамента технологического развития и инноваций ПАО «Россети Волга», ответственный секретарь организационного комитета</w:t>
            </w:r>
          </w:p>
        </w:tc>
      </w:tr>
    </w:tbl>
    <w:p>
      <w:pPr>
        <w:widowControl w:val="0"/>
        <w:ind w:firstLine="6096"/>
        <w:jc w:val="both"/>
        <w:rPr>
          <w:highlight w:val="green"/>
        </w:rPr>
      </w:pPr>
    </w:p>
    <w:p>
      <w:pPr>
        <w:widowControl w:val="0"/>
        <w:ind w:firstLine="6237"/>
        <w:jc w:val="both"/>
        <w:rPr>
          <w:highlight w:val="green"/>
        </w:rPr>
      </w:pPr>
    </w:p>
    <w:sectPr>
      <w:headerReference w:type="even" r:id="rId14"/>
      <w:headerReference w:type="default" r:id="rId15"/>
      <w:pgSz w:w="11906" w:h="16838"/>
      <w:pgMar w:top="1134" w:right="709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ac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ac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separate"/>
    </w:r>
    <w:r>
      <w:rPr>
        <w:rStyle w:val="afe"/>
        <w:noProof/>
      </w:rPr>
      <w:t>6</w:t>
    </w:r>
    <w:r>
      <w:rPr>
        <w:rStyle w:val="afe"/>
      </w:rPr>
      <w:fldChar w:fldCharType="end"/>
    </w:r>
  </w:p>
  <w:p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43361"/>
    <w:multiLevelType w:val="multilevel"/>
    <w:tmpl w:val="9CFAB8B0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1" w15:restartNumberingAfterBreak="0">
    <w:nsid w:val="04206504"/>
    <w:multiLevelType w:val="hybridMultilevel"/>
    <w:tmpl w:val="278A3180"/>
    <w:lvl w:ilvl="0" w:tplc="76E835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5CC8E734">
      <w:start w:val="1"/>
      <w:numFmt w:val="lowerLetter"/>
      <w:lvlText w:val="%2."/>
      <w:lvlJc w:val="left"/>
      <w:pPr>
        <w:ind w:left="1440" w:hanging="360"/>
      </w:pPr>
    </w:lvl>
    <w:lvl w:ilvl="2" w:tplc="63AAEE52">
      <w:start w:val="1"/>
      <w:numFmt w:val="lowerRoman"/>
      <w:lvlText w:val="%3."/>
      <w:lvlJc w:val="right"/>
      <w:pPr>
        <w:ind w:left="2160" w:hanging="180"/>
      </w:pPr>
    </w:lvl>
    <w:lvl w:ilvl="3" w:tplc="52AA9474">
      <w:start w:val="1"/>
      <w:numFmt w:val="decimal"/>
      <w:lvlText w:val="%4."/>
      <w:lvlJc w:val="left"/>
      <w:pPr>
        <w:ind w:left="2880" w:hanging="360"/>
      </w:pPr>
    </w:lvl>
    <w:lvl w:ilvl="4" w:tplc="A4C0D83E">
      <w:start w:val="1"/>
      <w:numFmt w:val="lowerLetter"/>
      <w:lvlText w:val="%5."/>
      <w:lvlJc w:val="left"/>
      <w:pPr>
        <w:ind w:left="3600" w:hanging="360"/>
      </w:pPr>
    </w:lvl>
    <w:lvl w:ilvl="5" w:tplc="3D6CDA7A">
      <w:start w:val="1"/>
      <w:numFmt w:val="lowerRoman"/>
      <w:lvlText w:val="%6."/>
      <w:lvlJc w:val="right"/>
      <w:pPr>
        <w:ind w:left="4320" w:hanging="180"/>
      </w:pPr>
    </w:lvl>
    <w:lvl w:ilvl="6" w:tplc="1C9CDFD2">
      <w:start w:val="1"/>
      <w:numFmt w:val="decimal"/>
      <w:lvlText w:val="%7."/>
      <w:lvlJc w:val="left"/>
      <w:pPr>
        <w:ind w:left="5040" w:hanging="360"/>
      </w:pPr>
    </w:lvl>
    <w:lvl w:ilvl="7" w:tplc="37BC9DD8">
      <w:start w:val="1"/>
      <w:numFmt w:val="lowerLetter"/>
      <w:lvlText w:val="%8."/>
      <w:lvlJc w:val="left"/>
      <w:pPr>
        <w:ind w:left="5760" w:hanging="360"/>
      </w:pPr>
    </w:lvl>
    <w:lvl w:ilvl="8" w:tplc="EFDA163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83B14"/>
    <w:multiLevelType w:val="hybridMultilevel"/>
    <w:tmpl w:val="57DC0762"/>
    <w:lvl w:ilvl="0" w:tplc="9094F714">
      <w:start w:val="1"/>
      <w:numFmt w:val="decimal"/>
      <w:lvlText w:val="%1."/>
      <w:lvlJc w:val="left"/>
      <w:pPr>
        <w:ind w:left="1804" w:hanging="1095"/>
      </w:pPr>
    </w:lvl>
    <w:lvl w:ilvl="1" w:tplc="40265E04">
      <w:start w:val="1"/>
      <w:numFmt w:val="lowerLetter"/>
      <w:lvlText w:val="%2."/>
      <w:lvlJc w:val="left"/>
      <w:pPr>
        <w:ind w:left="1789" w:hanging="360"/>
      </w:pPr>
    </w:lvl>
    <w:lvl w:ilvl="2" w:tplc="57E2CE72">
      <w:start w:val="1"/>
      <w:numFmt w:val="lowerRoman"/>
      <w:lvlText w:val="%3."/>
      <w:lvlJc w:val="right"/>
      <w:pPr>
        <w:ind w:left="2509" w:hanging="180"/>
      </w:pPr>
    </w:lvl>
    <w:lvl w:ilvl="3" w:tplc="8D86CAF4">
      <w:start w:val="1"/>
      <w:numFmt w:val="decimal"/>
      <w:lvlText w:val="%4."/>
      <w:lvlJc w:val="left"/>
      <w:pPr>
        <w:ind w:left="3229" w:hanging="360"/>
      </w:pPr>
    </w:lvl>
    <w:lvl w:ilvl="4" w:tplc="AF1A2362">
      <w:start w:val="1"/>
      <w:numFmt w:val="lowerLetter"/>
      <w:lvlText w:val="%5."/>
      <w:lvlJc w:val="left"/>
      <w:pPr>
        <w:ind w:left="3949" w:hanging="360"/>
      </w:pPr>
    </w:lvl>
    <w:lvl w:ilvl="5" w:tplc="D1CAE7B8">
      <w:start w:val="1"/>
      <w:numFmt w:val="lowerRoman"/>
      <w:lvlText w:val="%6."/>
      <w:lvlJc w:val="right"/>
      <w:pPr>
        <w:ind w:left="4669" w:hanging="180"/>
      </w:pPr>
    </w:lvl>
    <w:lvl w:ilvl="6" w:tplc="393C0046">
      <w:start w:val="1"/>
      <w:numFmt w:val="decimal"/>
      <w:lvlText w:val="%7."/>
      <w:lvlJc w:val="left"/>
      <w:pPr>
        <w:ind w:left="5389" w:hanging="360"/>
      </w:pPr>
    </w:lvl>
    <w:lvl w:ilvl="7" w:tplc="ED846DC6">
      <w:start w:val="1"/>
      <w:numFmt w:val="lowerLetter"/>
      <w:lvlText w:val="%8."/>
      <w:lvlJc w:val="left"/>
      <w:pPr>
        <w:ind w:left="6109" w:hanging="360"/>
      </w:pPr>
    </w:lvl>
    <w:lvl w:ilvl="8" w:tplc="C3E4966A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7F0560"/>
    <w:multiLevelType w:val="hybridMultilevel"/>
    <w:tmpl w:val="B6CE71A2"/>
    <w:lvl w:ilvl="0" w:tplc="D68A17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E084CE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CBE21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BFC30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20E26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B5C16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726537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39E3B0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EE61A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138E5351"/>
    <w:multiLevelType w:val="hybridMultilevel"/>
    <w:tmpl w:val="31EA3CCA"/>
    <w:lvl w:ilvl="0" w:tplc="7BAE52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5066BA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F208D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AB6F9A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1FED31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B68BD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C9457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8902B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4A642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181F0E49"/>
    <w:multiLevelType w:val="hybridMultilevel"/>
    <w:tmpl w:val="8412370C"/>
    <w:lvl w:ilvl="0" w:tplc="5A0E3F7C">
      <w:start w:val="7"/>
      <w:numFmt w:val="decimal"/>
      <w:lvlText w:val="%1."/>
      <w:lvlJc w:val="left"/>
      <w:pPr>
        <w:ind w:left="720" w:hanging="360"/>
      </w:pPr>
      <w:rPr>
        <w:sz w:val="24"/>
      </w:rPr>
    </w:lvl>
    <w:lvl w:ilvl="1" w:tplc="EE943FA6">
      <w:start w:val="1"/>
      <w:numFmt w:val="lowerLetter"/>
      <w:lvlText w:val="%2."/>
      <w:lvlJc w:val="left"/>
      <w:pPr>
        <w:ind w:left="1440" w:hanging="360"/>
      </w:pPr>
    </w:lvl>
    <w:lvl w:ilvl="2" w:tplc="3F96CE76">
      <w:start w:val="1"/>
      <w:numFmt w:val="lowerRoman"/>
      <w:lvlText w:val="%3."/>
      <w:lvlJc w:val="right"/>
      <w:pPr>
        <w:ind w:left="2160" w:hanging="180"/>
      </w:pPr>
    </w:lvl>
    <w:lvl w:ilvl="3" w:tplc="14EE3E9A">
      <w:start w:val="1"/>
      <w:numFmt w:val="decimal"/>
      <w:lvlText w:val="%4."/>
      <w:lvlJc w:val="left"/>
      <w:pPr>
        <w:ind w:left="2880" w:hanging="360"/>
      </w:pPr>
    </w:lvl>
    <w:lvl w:ilvl="4" w:tplc="F1E09FFE">
      <w:start w:val="1"/>
      <w:numFmt w:val="lowerLetter"/>
      <w:lvlText w:val="%5."/>
      <w:lvlJc w:val="left"/>
      <w:pPr>
        <w:ind w:left="3600" w:hanging="360"/>
      </w:pPr>
    </w:lvl>
    <w:lvl w:ilvl="5" w:tplc="7144E180">
      <w:start w:val="1"/>
      <w:numFmt w:val="lowerRoman"/>
      <w:lvlText w:val="%6."/>
      <w:lvlJc w:val="right"/>
      <w:pPr>
        <w:ind w:left="4320" w:hanging="180"/>
      </w:pPr>
    </w:lvl>
    <w:lvl w:ilvl="6" w:tplc="9D1018C6">
      <w:start w:val="1"/>
      <w:numFmt w:val="decimal"/>
      <w:lvlText w:val="%7."/>
      <w:lvlJc w:val="left"/>
      <w:pPr>
        <w:ind w:left="5040" w:hanging="360"/>
      </w:pPr>
    </w:lvl>
    <w:lvl w:ilvl="7" w:tplc="C846AD00">
      <w:start w:val="1"/>
      <w:numFmt w:val="lowerLetter"/>
      <w:lvlText w:val="%8."/>
      <w:lvlJc w:val="left"/>
      <w:pPr>
        <w:ind w:left="5760" w:hanging="360"/>
      </w:pPr>
    </w:lvl>
    <w:lvl w:ilvl="8" w:tplc="6E24BB0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B6822"/>
    <w:multiLevelType w:val="hybridMultilevel"/>
    <w:tmpl w:val="65D87FAE"/>
    <w:lvl w:ilvl="0" w:tplc="B7D01CD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E5F6992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30F84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AE76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7A8F1D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4B867F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B223A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B2AC9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AEE3A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1B7A4132"/>
    <w:multiLevelType w:val="hybridMultilevel"/>
    <w:tmpl w:val="51B29428"/>
    <w:lvl w:ilvl="0" w:tplc="D3EC95C0">
      <w:start w:val="5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8" w15:restartNumberingAfterBreak="0">
    <w:nsid w:val="202C66BD"/>
    <w:multiLevelType w:val="hybridMultilevel"/>
    <w:tmpl w:val="353A78E2"/>
    <w:lvl w:ilvl="0" w:tplc="EB5A7FDA">
      <w:start w:val="6"/>
      <w:numFmt w:val="decimal"/>
      <w:lvlText w:val="%1."/>
      <w:lvlJc w:val="left"/>
      <w:pPr>
        <w:ind w:left="720" w:hanging="360"/>
      </w:pPr>
      <w:rPr>
        <w:sz w:val="24"/>
      </w:rPr>
    </w:lvl>
    <w:lvl w:ilvl="1" w:tplc="543AB582">
      <w:start w:val="1"/>
      <w:numFmt w:val="lowerLetter"/>
      <w:lvlText w:val="%2."/>
      <w:lvlJc w:val="left"/>
      <w:pPr>
        <w:ind w:left="1440" w:hanging="360"/>
      </w:pPr>
    </w:lvl>
    <w:lvl w:ilvl="2" w:tplc="C1881CE4">
      <w:start w:val="1"/>
      <w:numFmt w:val="lowerRoman"/>
      <w:lvlText w:val="%3."/>
      <w:lvlJc w:val="right"/>
      <w:pPr>
        <w:ind w:left="2160" w:hanging="180"/>
      </w:pPr>
    </w:lvl>
    <w:lvl w:ilvl="3" w:tplc="BCCEDE8C">
      <w:start w:val="1"/>
      <w:numFmt w:val="decimal"/>
      <w:lvlText w:val="%4."/>
      <w:lvlJc w:val="left"/>
      <w:pPr>
        <w:ind w:left="2880" w:hanging="360"/>
      </w:pPr>
    </w:lvl>
    <w:lvl w:ilvl="4" w:tplc="2E40CDE0">
      <w:start w:val="1"/>
      <w:numFmt w:val="lowerLetter"/>
      <w:lvlText w:val="%5."/>
      <w:lvlJc w:val="left"/>
      <w:pPr>
        <w:ind w:left="3600" w:hanging="360"/>
      </w:pPr>
    </w:lvl>
    <w:lvl w:ilvl="5" w:tplc="AB2EA884">
      <w:start w:val="1"/>
      <w:numFmt w:val="lowerRoman"/>
      <w:lvlText w:val="%6."/>
      <w:lvlJc w:val="right"/>
      <w:pPr>
        <w:ind w:left="4320" w:hanging="180"/>
      </w:pPr>
    </w:lvl>
    <w:lvl w:ilvl="6" w:tplc="8110B1D6">
      <w:start w:val="1"/>
      <w:numFmt w:val="decimal"/>
      <w:lvlText w:val="%7."/>
      <w:lvlJc w:val="left"/>
      <w:pPr>
        <w:ind w:left="5040" w:hanging="360"/>
      </w:pPr>
    </w:lvl>
    <w:lvl w:ilvl="7" w:tplc="011857FE">
      <w:start w:val="1"/>
      <w:numFmt w:val="lowerLetter"/>
      <w:lvlText w:val="%8."/>
      <w:lvlJc w:val="left"/>
      <w:pPr>
        <w:ind w:left="5760" w:hanging="360"/>
      </w:pPr>
    </w:lvl>
    <w:lvl w:ilvl="8" w:tplc="22D0111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EF5717"/>
    <w:multiLevelType w:val="hybridMultilevel"/>
    <w:tmpl w:val="BEE86DB0"/>
    <w:lvl w:ilvl="0" w:tplc="6CA21EB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7E2E4B2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49465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CC6C6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9103D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5CC33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090372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8544A7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C1C0E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26245B17"/>
    <w:multiLevelType w:val="multilevel"/>
    <w:tmpl w:val="B8948970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11" w15:restartNumberingAfterBreak="0">
    <w:nsid w:val="26F25D30"/>
    <w:multiLevelType w:val="hybridMultilevel"/>
    <w:tmpl w:val="1FB6DB86"/>
    <w:lvl w:ilvl="0" w:tplc="BC5EDB86">
      <w:start w:val="5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 w15:restartNumberingAfterBreak="0">
    <w:nsid w:val="2B383608"/>
    <w:multiLevelType w:val="hybridMultilevel"/>
    <w:tmpl w:val="3C3EA1A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42E127A"/>
    <w:multiLevelType w:val="hybridMultilevel"/>
    <w:tmpl w:val="EE525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931BD"/>
    <w:multiLevelType w:val="hybridMultilevel"/>
    <w:tmpl w:val="B7D2A70E"/>
    <w:lvl w:ilvl="0" w:tplc="713A3B28">
      <w:numFmt w:val="bullet"/>
      <w:lvlText w:val=""/>
      <w:lvlJc w:val="left"/>
      <w:pPr>
        <w:ind w:left="523" w:hanging="3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DF1CCBA8">
      <w:numFmt w:val="bullet"/>
      <w:lvlText w:val="•"/>
      <w:lvlJc w:val="left"/>
      <w:pPr>
        <w:ind w:left="1089" w:hanging="373"/>
      </w:pPr>
      <w:rPr>
        <w:rFonts w:hint="default"/>
        <w:lang w:val="ru-RU" w:eastAsia="en-US" w:bidi="ar-SA"/>
      </w:rPr>
    </w:lvl>
    <w:lvl w:ilvl="2" w:tplc="6A6C0E44">
      <w:numFmt w:val="bullet"/>
      <w:lvlText w:val="•"/>
      <w:lvlJc w:val="left"/>
      <w:pPr>
        <w:ind w:left="1658" w:hanging="373"/>
      </w:pPr>
      <w:rPr>
        <w:rFonts w:hint="default"/>
        <w:lang w:val="ru-RU" w:eastAsia="en-US" w:bidi="ar-SA"/>
      </w:rPr>
    </w:lvl>
    <w:lvl w:ilvl="3" w:tplc="97D6825C">
      <w:numFmt w:val="bullet"/>
      <w:lvlText w:val="•"/>
      <w:lvlJc w:val="left"/>
      <w:pPr>
        <w:ind w:left="2227" w:hanging="373"/>
      </w:pPr>
      <w:rPr>
        <w:rFonts w:hint="default"/>
        <w:lang w:val="ru-RU" w:eastAsia="en-US" w:bidi="ar-SA"/>
      </w:rPr>
    </w:lvl>
    <w:lvl w:ilvl="4" w:tplc="6170A124">
      <w:numFmt w:val="bullet"/>
      <w:lvlText w:val="•"/>
      <w:lvlJc w:val="left"/>
      <w:pPr>
        <w:ind w:left="2796" w:hanging="373"/>
      </w:pPr>
      <w:rPr>
        <w:rFonts w:hint="default"/>
        <w:lang w:val="ru-RU" w:eastAsia="en-US" w:bidi="ar-SA"/>
      </w:rPr>
    </w:lvl>
    <w:lvl w:ilvl="5" w:tplc="62CEF97C">
      <w:numFmt w:val="bullet"/>
      <w:lvlText w:val="•"/>
      <w:lvlJc w:val="left"/>
      <w:pPr>
        <w:ind w:left="3365" w:hanging="373"/>
      </w:pPr>
      <w:rPr>
        <w:rFonts w:hint="default"/>
        <w:lang w:val="ru-RU" w:eastAsia="en-US" w:bidi="ar-SA"/>
      </w:rPr>
    </w:lvl>
    <w:lvl w:ilvl="6" w:tplc="C4C09428">
      <w:numFmt w:val="bullet"/>
      <w:lvlText w:val="•"/>
      <w:lvlJc w:val="left"/>
      <w:pPr>
        <w:ind w:left="3934" w:hanging="373"/>
      </w:pPr>
      <w:rPr>
        <w:rFonts w:hint="default"/>
        <w:lang w:val="ru-RU" w:eastAsia="en-US" w:bidi="ar-SA"/>
      </w:rPr>
    </w:lvl>
    <w:lvl w:ilvl="7" w:tplc="5B74FA8C">
      <w:numFmt w:val="bullet"/>
      <w:lvlText w:val="•"/>
      <w:lvlJc w:val="left"/>
      <w:pPr>
        <w:ind w:left="4503" w:hanging="373"/>
      </w:pPr>
      <w:rPr>
        <w:rFonts w:hint="default"/>
        <w:lang w:val="ru-RU" w:eastAsia="en-US" w:bidi="ar-SA"/>
      </w:rPr>
    </w:lvl>
    <w:lvl w:ilvl="8" w:tplc="4F9A517C">
      <w:numFmt w:val="bullet"/>
      <w:lvlText w:val="•"/>
      <w:lvlJc w:val="left"/>
      <w:pPr>
        <w:ind w:left="5072" w:hanging="373"/>
      </w:pPr>
      <w:rPr>
        <w:rFonts w:hint="default"/>
        <w:lang w:val="ru-RU" w:eastAsia="en-US" w:bidi="ar-SA"/>
      </w:rPr>
    </w:lvl>
  </w:abstractNum>
  <w:abstractNum w:abstractNumId="15" w15:restartNumberingAfterBreak="0">
    <w:nsid w:val="364F2FAA"/>
    <w:multiLevelType w:val="multilevel"/>
    <w:tmpl w:val="7B1657B2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16" w15:restartNumberingAfterBreak="0">
    <w:nsid w:val="3A811766"/>
    <w:multiLevelType w:val="multilevel"/>
    <w:tmpl w:val="A9B880C4"/>
    <w:lvl w:ilvl="0">
      <w:start w:val="3"/>
      <w:numFmt w:val="decimal"/>
      <w:lvlText w:val="%1"/>
      <w:lvlJc w:val="left"/>
      <w:pPr>
        <w:ind w:left="143" w:hanging="504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3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1" w:hanging="5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7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2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8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4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90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5" w:hanging="504"/>
      </w:pPr>
      <w:rPr>
        <w:rFonts w:hint="default"/>
        <w:lang w:val="ru-RU" w:eastAsia="en-US" w:bidi="ar-SA"/>
      </w:rPr>
    </w:lvl>
  </w:abstractNum>
  <w:abstractNum w:abstractNumId="17" w15:restartNumberingAfterBreak="0">
    <w:nsid w:val="3C52515D"/>
    <w:multiLevelType w:val="multilevel"/>
    <w:tmpl w:val="2EC6D5E2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18" w15:restartNumberingAfterBreak="0">
    <w:nsid w:val="3DB624D1"/>
    <w:multiLevelType w:val="multilevel"/>
    <w:tmpl w:val="23E2F9F4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19" w15:restartNumberingAfterBreak="0">
    <w:nsid w:val="46782823"/>
    <w:multiLevelType w:val="hybridMultilevel"/>
    <w:tmpl w:val="14B0E510"/>
    <w:lvl w:ilvl="0" w:tplc="2156565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FF90DC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314E5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61A890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E5A37E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64CB36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F72BAC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8E6964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EA2E9D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4852395B"/>
    <w:multiLevelType w:val="multilevel"/>
    <w:tmpl w:val="16086E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1" w15:restartNumberingAfterBreak="0">
    <w:nsid w:val="4CF34FA1"/>
    <w:multiLevelType w:val="multilevel"/>
    <w:tmpl w:val="1E6095B8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22" w15:restartNumberingAfterBreak="0">
    <w:nsid w:val="5323214B"/>
    <w:multiLevelType w:val="hybridMultilevel"/>
    <w:tmpl w:val="F97CC47C"/>
    <w:lvl w:ilvl="0" w:tplc="6B54D56A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DE840EE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83BA1C4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3950177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312857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7B5A9ECE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C1F8F75C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10144C4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722076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3" w15:restartNumberingAfterBreak="0">
    <w:nsid w:val="57C15BCB"/>
    <w:multiLevelType w:val="multilevel"/>
    <w:tmpl w:val="99365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487" w:hanging="108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545" w:hanging="1440"/>
      </w:pPr>
    </w:lvl>
    <w:lvl w:ilvl="6">
      <w:start w:val="1"/>
      <w:numFmt w:val="decimal"/>
      <w:lvlText w:val="%1.%2.%3.%4.%5.%6.%7."/>
      <w:lvlJc w:val="left"/>
      <w:pPr>
        <w:ind w:left="4254" w:hanging="1800"/>
      </w:pPr>
    </w:lvl>
    <w:lvl w:ilvl="7">
      <w:start w:val="1"/>
      <w:numFmt w:val="decimal"/>
      <w:lvlText w:val="%1.%2.%3.%4.%5.%6.%7.%8."/>
      <w:lvlJc w:val="left"/>
      <w:pPr>
        <w:ind w:left="4603" w:hanging="1800"/>
      </w:pPr>
    </w:lvl>
    <w:lvl w:ilvl="8">
      <w:start w:val="1"/>
      <w:numFmt w:val="decimal"/>
      <w:lvlText w:val="%1.%2.%3.%4.%5.%6.%7.%8.%9."/>
      <w:lvlJc w:val="left"/>
      <w:pPr>
        <w:ind w:left="5312" w:hanging="2160"/>
      </w:pPr>
    </w:lvl>
  </w:abstractNum>
  <w:abstractNum w:abstractNumId="24" w15:restartNumberingAfterBreak="0">
    <w:nsid w:val="58464FBB"/>
    <w:multiLevelType w:val="multilevel"/>
    <w:tmpl w:val="FD509644"/>
    <w:lvl w:ilvl="0">
      <w:start w:val="1"/>
      <w:numFmt w:val="decimal"/>
      <w:lvlText w:val="%1."/>
      <w:lvlJc w:val="left"/>
      <w:pPr>
        <w:ind w:left="1275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5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8" w:hanging="425"/>
      </w:pPr>
      <w:rPr>
        <w:rFonts w:hint="default"/>
        <w:lang w:val="ru-RU" w:eastAsia="en-US" w:bidi="ar-SA"/>
      </w:rPr>
    </w:lvl>
  </w:abstractNum>
  <w:abstractNum w:abstractNumId="25" w15:restartNumberingAfterBreak="0">
    <w:nsid w:val="5C0317C0"/>
    <w:multiLevelType w:val="hybridMultilevel"/>
    <w:tmpl w:val="CBAC15E4"/>
    <w:lvl w:ilvl="0" w:tplc="16B45CB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81F402C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5FEF92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532052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B4803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93AEF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706C5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9E45B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7F2E0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4"/>
  </w:num>
  <w:num w:numId="3">
    <w:abstractNumId w:val="20"/>
  </w:num>
  <w:num w:numId="4">
    <w:abstractNumId w:val="2"/>
  </w:num>
  <w:num w:numId="5">
    <w:abstractNumId w:val="8"/>
  </w:num>
  <w:num w:numId="6">
    <w:abstractNumId w:val="5"/>
  </w:num>
  <w:num w:numId="7">
    <w:abstractNumId w:val="23"/>
  </w:num>
  <w:num w:numId="8">
    <w:abstractNumId w:val="1"/>
  </w:num>
  <w:num w:numId="9">
    <w:abstractNumId w:val="22"/>
  </w:num>
  <w:num w:numId="10">
    <w:abstractNumId w:val="14"/>
  </w:num>
  <w:num w:numId="11">
    <w:abstractNumId w:val="19"/>
  </w:num>
  <w:num w:numId="12">
    <w:abstractNumId w:val="17"/>
  </w:num>
  <w:num w:numId="13">
    <w:abstractNumId w:val="15"/>
  </w:num>
  <w:num w:numId="14">
    <w:abstractNumId w:val="21"/>
  </w:num>
  <w:num w:numId="15">
    <w:abstractNumId w:val="16"/>
  </w:num>
  <w:num w:numId="16">
    <w:abstractNumId w:val="24"/>
  </w:num>
  <w:num w:numId="17">
    <w:abstractNumId w:val="25"/>
  </w:num>
  <w:num w:numId="18">
    <w:abstractNumId w:val="9"/>
  </w:num>
  <w:num w:numId="19">
    <w:abstractNumId w:val="6"/>
  </w:num>
  <w:num w:numId="20">
    <w:abstractNumId w:val="18"/>
  </w:num>
  <w:num w:numId="21">
    <w:abstractNumId w:val="0"/>
  </w:num>
  <w:num w:numId="22">
    <w:abstractNumId w:val="10"/>
  </w:num>
  <w:num w:numId="23">
    <w:abstractNumId w:val="13"/>
  </w:num>
  <w:num w:numId="24">
    <w:abstractNumId w:val="11"/>
  </w:num>
  <w:num w:numId="25">
    <w:abstractNumId w:val="7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revisionView w:inkAnnotations="0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30B78D-97EF-0E4F-AF1C-BE88BD21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olor w:val="000000"/>
      <w:szCs w:val="20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  <w:rPr>
      <w:lang w:eastAsia="zh-CN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af">
    <w:name w:val="Нижний колонтитул Знак"/>
    <w:link w:val="ae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/>
      <w:sz w:val="18"/>
      <w:szCs w:val="18"/>
    </w:rPr>
  </w:style>
  <w:style w:type="table" w:styleId="af2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3">
    <w:name w:val="Hyperlink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uiPriority w:val="99"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Pr>
      <w:sz w:val="20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  <w:rPr>
      <w:lang w:eastAsia="zh-CN"/>
    </w:rPr>
  </w:style>
  <w:style w:type="paragraph" w:styleId="afb">
    <w:name w:val="table of figures"/>
    <w:basedOn w:val="a"/>
    <w:next w:val="a"/>
    <w:uiPriority w:val="99"/>
    <w:unhideWhenUsed/>
  </w:style>
  <w:style w:type="paragraph" w:styleId="afc">
    <w:name w:val="Body Text"/>
    <w:basedOn w:val="a"/>
    <w:pPr>
      <w:jc w:val="both"/>
    </w:pPr>
    <w:rPr>
      <w:sz w:val="28"/>
      <w:szCs w:val="20"/>
    </w:rPr>
  </w:style>
  <w:style w:type="paragraph" w:styleId="afd">
    <w:name w:val="Body Text Indent"/>
    <w:basedOn w:val="a"/>
    <w:pPr>
      <w:spacing w:after="120"/>
      <w:ind w:left="283"/>
    </w:pPr>
  </w:style>
  <w:style w:type="paragraph" w:styleId="25">
    <w:name w:val="Body Text Indent 2"/>
    <w:basedOn w:val="a"/>
    <w:pPr>
      <w:spacing w:after="120" w:line="480" w:lineRule="auto"/>
      <w:ind w:left="283"/>
    </w:pPr>
  </w:style>
  <w:style w:type="character" w:styleId="afe">
    <w:name w:val="page number"/>
    <w:basedOn w:val="a0"/>
  </w:style>
  <w:style w:type="paragraph" w:styleId="aff">
    <w:name w:val="Balloon Text"/>
    <w:basedOn w:val="a"/>
    <w:link w:val="aff0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uiPriority w:val="99"/>
    <w:semiHidden/>
    <w:rPr>
      <w:rFonts w:ascii="Segoe UI" w:hAnsi="Segoe UI" w:cs="Segoe UI"/>
      <w:sz w:val="18"/>
      <w:szCs w:val="18"/>
    </w:rPr>
  </w:style>
  <w:style w:type="character" w:styleId="aff1">
    <w:name w:val="annotation reference"/>
    <w:uiPriority w:val="99"/>
    <w:semiHidden/>
    <w:unhideWhenUsed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</w:style>
  <w:style w:type="paragraph" w:styleId="aff4">
    <w:name w:val="annotation subject"/>
    <w:basedOn w:val="aff2"/>
    <w:next w:val="aff2"/>
    <w:link w:val="aff5"/>
    <w:uiPriority w:val="99"/>
    <w:semiHidden/>
    <w:unhideWhenUsed/>
    <w:rPr>
      <w:b/>
      <w:bCs/>
    </w:rPr>
  </w:style>
  <w:style w:type="character" w:customStyle="1" w:styleId="aff5">
    <w:name w:val="Тема примечания Знак"/>
    <w:link w:val="aff4"/>
    <w:uiPriority w:val="99"/>
    <w:semiHidden/>
    <w:rPr>
      <w:b/>
      <w:bCs/>
    </w:rPr>
  </w:style>
  <w:style w:type="paragraph" w:styleId="aff6">
    <w:name w:val="Revision"/>
    <w:hidden/>
    <w:uiPriority w:val="99"/>
    <w:semiHidden/>
    <w:rPr>
      <w:sz w:val="24"/>
      <w:szCs w:val="24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sz w:val="32"/>
      <w:szCs w:val="32"/>
    </w:rPr>
  </w:style>
  <w:style w:type="paragraph" w:customStyle="1" w:styleId="14">
    <w:name w:val="Основной текст1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143" w:firstLine="707"/>
      <w:jc w:val="both"/>
    </w:pPr>
    <w:rPr>
      <w:sz w:val="28"/>
      <w:szCs w:val="28"/>
      <w:lang w:eastAsia="en-US"/>
    </w:r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108"/>
    </w:pPr>
    <w:rPr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rPr>
      <w:sz w:val="24"/>
      <w:szCs w:val="24"/>
    </w:rPr>
  </w:style>
  <w:style w:type="character" w:styleId="aff7">
    <w:name w:val="FollowedHyperlink"/>
    <w:basedOn w:val="a0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file:///C:\Users\y.tatyanina\Desktop\russova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y.tatyanina\Desktop\case@rossetivolga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ossetivolga.ru/ru/o_kompanii/innovatsio/molodezhna/fform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B84E2-B058-440C-AD19-F707DA5B8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2110</Words>
  <Characters>12029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VI областного конкурса</vt:lpstr>
    </vt:vector>
  </TitlesOfParts>
  <Company>2</Company>
  <LinksUpToDate>false</LinksUpToDate>
  <CharactersWithSpaces>14111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VI областного конкурса</dc:title>
  <dc:creator>608_2</dc:creator>
  <cp:lastModifiedBy>Александров Александр Сергеевич</cp:lastModifiedBy>
  <cp:revision>6</cp:revision>
  <dcterms:created xsi:type="dcterms:W3CDTF">2026-08-18T10:55:00Z</dcterms:created>
  <dcterms:modified xsi:type="dcterms:W3CDTF">2026-08-18T11:45:00Z</dcterms:modified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