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14"/>
        <w:spacing w:before="106"/>
        <w:ind w:left="0" w:firstLine="0"/>
        <w:jc w:val="left"/>
        <w:rPr>
          <w:sz w:val="20"/>
        </w:rPr>
      </w:pPr>
    </w:p>
    <w:tbl>
      <w:tblPr>
        <w:tblW w:w="0" w:type="auto"/>
        <w:tblInd w:w="-851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4110"/>
        <w:gridCol w:w="7601"/>
      </w:tblGrid>
      <w:tr>
        <w:trPr>
          <w:trHeight w:val="1365"/>
        </w:trPr>
        <w:tc>
          <w:tcPr>
            <w:tcW w:w="2976" w:type="dxa"/>
            <w:vAlign w:val="center"/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22351" cy="922351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72570" cy="97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vAlign w:val="center"/>
          </w:tcPr>
          <w:p>
            <w:pPr>
              <w:pStyle w:val="TableParagraph"/>
              <w:spacing w:before="159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861240" cy="612250"/>
                  <wp:effectExtent l="0" t="0" r="5715" b="0"/>
                  <wp:docPr id="3285846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93535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747" cy="620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vAlign w:val="center"/>
          </w:tcPr>
          <w:p>
            <w:r>
              <w:rPr>
                <w:noProof/>
              </w:rPr>
              <w:drawing>
                <wp:inline distT="0" distB="0" distL="0" distR="0">
                  <wp:extent cx="2150110" cy="10229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110" cy="102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spacing w:before="4"/>
        <w:ind w:left="0" w:firstLine="0"/>
        <w:jc w:val="left"/>
        <w:rPr>
          <w:sz w:val="24"/>
        </w:rPr>
      </w:pPr>
    </w:p>
    <w:p>
      <w:pPr>
        <w:pStyle w:val="a6"/>
        <w:spacing w:before="0" w:after="0"/>
        <w:jc w:val="center"/>
        <w:rPr>
          <w:b/>
          <w:bCs/>
          <w:spacing w:val="-20"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 xml:space="preserve">ПОЛОЖЕНИЕ </w:t>
      </w:r>
      <w:r>
        <w:rPr>
          <w:b/>
          <w:bCs/>
          <w:sz w:val="44"/>
          <w:szCs w:val="44"/>
        </w:rPr>
        <w:t>О</w:t>
      </w:r>
      <w:r>
        <w:rPr>
          <w:b/>
          <w:bCs/>
          <w:spacing w:val="-20"/>
          <w:sz w:val="44"/>
          <w:szCs w:val="44"/>
        </w:rPr>
        <w:t xml:space="preserve"> ПРОВЕДЕНИИ </w:t>
      </w:r>
    </w:p>
    <w:p>
      <w:pPr>
        <w:pStyle w:val="a6"/>
        <w:spacing w:before="0" w:after="0"/>
        <w:jc w:val="center"/>
        <w:rPr>
          <w:b/>
          <w:sz w:val="32"/>
        </w:rPr>
      </w:pPr>
      <w:r>
        <w:rPr>
          <w:b/>
          <w:bCs/>
          <w:spacing w:val="-20"/>
          <w:sz w:val="44"/>
          <w:szCs w:val="44"/>
        </w:rPr>
        <w:t>II МОЛОДЕЖНОЙ НАУЧНОЙ КОНФЕРЕНЦИИ МОЛОДЕЖНОЙ СЕКЦИИ РНК СИГРЭ «ЭНЕРГИЯ БУДУЩЕГО»</w:t>
      </w:r>
    </w:p>
    <w:p>
      <w:pPr>
        <w:pStyle w:val="14"/>
        <w:ind w:left="0" w:firstLine="0"/>
        <w:jc w:val="center"/>
        <w:rPr>
          <w:b/>
          <w:sz w:val="32"/>
        </w:rPr>
      </w:pPr>
    </w:p>
    <w:p>
      <w:pPr>
        <w:pStyle w:val="14"/>
        <w:ind w:left="0" w:firstLine="0"/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 xml:space="preserve">проводимой в рамках II Национальная </w:t>
      </w:r>
    </w:p>
    <w:p>
      <w:pPr>
        <w:pStyle w:val="14"/>
        <w:ind w:left="0" w:firstLine="0"/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научно-практическая конференция</w:t>
      </w:r>
    </w:p>
    <w:p>
      <w:pPr>
        <w:pStyle w:val="14"/>
        <w:ind w:left="0" w:firstLine="0"/>
        <w:jc w:val="center"/>
        <w:rPr>
          <w:b/>
          <w:color w:val="0070C0"/>
          <w:sz w:val="32"/>
        </w:rPr>
      </w:pPr>
    </w:p>
    <w:p>
      <w:pPr>
        <w:pStyle w:val="14"/>
        <w:ind w:left="0" w:firstLine="0"/>
        <w:jc w:val="center"/>
        <w:rPr>
          <w:b/>
          <w:color w:val="0070C0"/>
          <w:sz w:val="32"/>
        </w:rPr>
      </w:pPr>
    </w:p>
    <w:p>
      <w:pPr>
        <w:pStyle w:val="14"/>
        <w:ind w:left="0" w:firstLine="0"/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 xml:space="preserve">ПРОБЛЕМЫ И ПЕРСПЕКТИВЫ РАЗВИТИЯ ЭНЕРГЕТИКИ, РОБОТОТЕХНИКИ </w:t>
      </w:r>
    </w:p>
    <w:p>
      <w:pPr>
        <w:pStyle w:val="14"/>
        <w:ind w:left="0" w:firstLine="0"/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И ЭЛЕКТРОТЕХНОЛОГИЙ</w:t>
      </w:r>
    </w:p>
    <w:p>
      <w:pPr>
        <w:pStyle w:val="14"/>
        <w:ind w:left="0" w:firstLine="0"/>
        <w:jc w:val="left"/>
        <w:rPr>
          <w:b/>
          <w:color w:val="0070C0"/>
          <w:sz w:val="32"/>
        </w:rPr>
      </w:pPr>
    </w:p>
    <w:p>
      <w:pPr>
        <w:pStyle w:val="14"/>
        <w:ind w:left="0" w:firstLine="0"/>
        <w:jc w:val="left"/>
        <w:rPr>
          <w:b/>
          <w:color w:val="0070C0"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  <w:rPr>
          <w:spacing w:val="-4"/>
        </w:rPr>
      </w:pPr>
    </w:p>
    <w:p>
      <w:pPr>
        <w:widowControl w:val="0"/>
        <w:ind w:firstLine="6096"/>
        <w:jc w:val="both"/>
      </w:pPr>
    </w:p>
    <w:p>
      <w:pPr>
        <w:pStyle w:val="2"/>
        <w:pageBreakBefore/>
        <w:numPr>
          <w:ilvl w:val="0"/>
          <w:numId w:val="27"/>
        </w:numPr>
        <w:spacing w:before="0" w:after="0"/>
        <w:ind w:left="0" w:firstLine="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Общие положения</w:t>
      </w:r>
    </w:p>
    <w:p/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1.1. Настоящее Положение определяет порядок организации и проведения в 2026 году молодежной научной конференции «Энергия будущего»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(далее - Конференция).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green"/>
        </w:rPr>
      </w:pPr>
      <w:r>
        <w:rPr>
          <w:bCs/>
          <w:color w:val="000000"/>
          <w:sz w:val="28"/>
          <w:szCs w:val="28"/>
        </w:rPr>
        <w:t xml:space="preserve">1.2. Конференция организуется ПАО «Россети Волга» совместно с Федеральным государственным бюджетным образовательным учреждением высшего образования «Саратовский государственный университет генетики, биотехнологии и инженерии имени Н.И. Вавилова», </w:t>
      </w:r>
      <w:r>
        <w:rPr>
          <w:sz w:val="28"/>
          <w:szCs w:val="28"/>
        </w:rPr>
        <w:t>осуществляющим подготовку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электроэнергетическим и электротехническим профилям, и реализуется в очном </w:t>
      </w:r>
      <w:r>
        <w:rPr>
          <w:spacing w:val="-2"/>
          <w:sz w:val="28"/>
          <w:szCs w:val="28"/>
        </w:rPr>
        <w:t>формате.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 xml:space="preserve">1.3. Конференция </w:t>
      </w:r>
      <w:r>
        <w:rPr>
          <w:bCs/>
          <w:iCs/>
          <w:color w:val="000000"/>
          <w:sz w:val="28"/>
          <w:szCs w:val="28"/>
          <w:highlight w:val="white"/>
        </w:rPr>
        <w:t xml:space="preserve">проводится </w:t>
      </w:r>
      <w:r>
        <w:rPr>
          <w:bCs/>
          <w:sz w:val="28"/>
          <w:szCs w:val="28"/>
          <w:highlight w:val="white"/>
        </w:rPr>
        <w:t xml:space="preserve">в целях </w:t>
      </w:r>
      <w:r>
        <w:rPr>
          <w:color w:val="000000"/>
          <w:sz w:val="28"/>
          <w:szCs w:val="28"/>
          <w:highlight w:val="white"/>
        </w:rPr>
        <w:t>развития научного и творческого потенциала молодых исследователей в области электроэнергетики, активизации процесса обмена новыми идеями и разработками, стимулирования творческого мышления среди молодежи, привлечения молодых ученых в ГК «Россети».</w:t>
      </w:r>
    </w:p>
    <w:p>
      <w:pPr>
        <w:shd w:val="clear" w:color="auto" w:fill="FFFFFF"/>
        <w:ind w:firstLine="709"/>
        <w:jc w:val="both"/>
        <w:rPr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>1.4. Основные задачи Конкурса: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создание условий для развития аналитического, критического и исследовательского мышления;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популяризация научных знаний и интеллектуально-творческой деятельности;</w:t>
      </w:r>
    </w:p>
    <w:p>
      <w:pPr>
        <w:pStyle w:val="a3"/>
        <w:numPr>
          <w:ilvl w:val="0"/>
          <w:numId w:val="11"/>
        </w:numPr>
        <w:shd w:val="clear" w:color="auto" w:fill="FFFFFF"/>
        <w:ind w:left="0"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привлечение студентов, аспирантов и молодых работников к научно-исследовательской деятельности;</w:t>
      </w:r>
    </w:p>
    <w:p>
      <w:pPr>
        <w:pStyle w:val="a3"/>
        <w:numPr>
          <w:ilvl w:val="0"/>
          <w:numId w:val="11"/>
        </w:numPr>
        <w:shd w:val="clear" w:color="auto" w:fill="FFFFFF"/>
        <w:ind w:left="0" w:firstLine="709"/>
        <w:contextualSpacing w:val="0"/>
        <w:jc w:val="both"/>
        <w:rPr>
          <w:color w:val="000000"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развитие и укрепление научных связей компаний электроэнергетики и вузов;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представление и обсуждение новейших научных результатов исследований и практических достижений в области электроэнергетики.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1.5. </w:t>
      </w:r>
      <w:r>
        <w:rPr>
          <w:sz w:val="28"/>
          <w:szCs w:val="28"/>
        </w:rPr>
        <w:t>Конференция может иметь соорганизаторов, спонсоров и информационных партнеров.</w:t>
      </w:r>
    </w:p>
    <w:p>
      <w:pPr>
        <w:shd w:val="clear" w:color="auto" w:fill="FFFFFF"/>
        <w:jc w:val="both"/>
        <w:rPr>
          <w:color w:val="000000"/>
          <w:sz w:val="28"/>
          <w:szCs w:val="28"/>
          <w:highlight w:val="green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2. Участники конференции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Участниками конференции могут быть студенты российских и зарубежных технических вузов по электроэнергетическим и электротехническим специальностям (бакалавриат, специалитет, магистратура) очной (заочной) формы обучения, аспиранты, соискатели, молодые ученые и специалисты, занимающиеся научно-техническими и прикладными исследованиями, опытно-конструкторскими и проектными работами в сфере техники и технологий в электроэнергетике, заведующие и преподаватели кафедр электроэнергетического профиля, эксперты, специалисты ведущих российских электроэнергетических компаний с государственным участием и иных электроэнергетических организаций в возрасте не старше 35 лет. Возможно участие в Конференции на условиях соавторства. 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На Конференцию могут быть приглашены в качестве слушателей учащиеся общеобразовательных учреждений - ученики «энергетических» классов, участники профориентационных мероприятий, проводимых </w:t>
      </w:r>
      <w:r>
        <w:rPr>
          <w:sz w:val="28"/>
          <w:szCs w:val="28"/>
        </w:rPr>
        <w:lastRenderedPageBreak/>
        <w:t xml:space="preserve">Организаторами Конференции в целях профориентации и формирования интереса к электроэнергетической </w:t>
      </w:r>
      <w:r>
        <w:rPr>
          <w:spacing w:val="-2"/>
          <w:sz w:val="28"/>
          <w:szCs w:val="28"/>
        </w:rPr>
        <w:t>отрасли.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2.3. Участие в конференции является добровольным и означает ознакомление и согласие автора(ов) работ со всеми пунктами настоящего положения.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3. Организационный</w:t>
      </w:r>
      <w:r>
        <w:rPr>
          <w:rFonts w:ascii="Times New Roman" w:hAnsi="Times New Roman" w:cs="Times New Roman"/>
          <w:i w:val="0"/>
          <w:spacing w:val="-8"/>
        </w:rPr>
        <w:t xml:space="preserve"> </w:t>
      </w:r>
      <w:r>
        <w:rPr>
          <w:rFonts w:ascii="Times New Roman" w:hAnsi="Times New Roman" w:cs="Times New Roman"/>
          <w:i w:val="0"/>
        </w:rPr>
        <w:t>комитет</w:t>
      </w:r>
      <w:r>
        <w:rPr>
          <w:rFonts w:ascii="Times New Roman" w:hAnsi="Times New Roman" w:cs="Times New Roman"/>
          <w:i w:val="0"/>
          <w:spacing w:val="-8"/>
        </w:rPr>
        <w:t xml:space="preserve"> </w:t>
      </w:r>
      <w:r>
        <w:rPr>
          <w:rFonts w:ascii="Times New Roman" w:hAnsi="Times New Roman" w:cs="Times New Roman"/>
          <w:i w:val="0"/>
          <w:spacing w:val="-2"/>
        </w:rPr>
        <w:t>и Жюри конференции</w:t>
      </w:r>
    </w:p>
    <w:p>
      <w:pPr>
        <w:tabs>
          <w:tab w:val="left" w:pos="1585"/>
        </w:tabs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3.1. Организационный комитет конференции (Оргкомитет) – общественная структура, создаваемая для координации действий и осуществления следующих мероприятий, связанных с подготовкой к проведению </w:t>
      </w:r>
      <w:r>
        <w:rPr>
          <w:spacing w:val="-2"/>
          <w:sz w:val="28"/>
          <w:szCs w:val="28"/>
        </w:rPr>
        <w:t>конференции (Приложение 2):</w:t>
      </w:r>
    </w:p>
    <w:p>
      <w:pPr>
        <w:pStyle w:val="a3"/>
        <w:numPr>
          <w:ilvl w:val="0"/>
          <w:numId w:val="17"/>
        </w:numPr>
        <w:tabs>
          <w:tab w:val="left" w:pos="15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актуализация информационных материалов (информационное сообщение, в том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числе заявка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 участие в конференции, регистрационная форма, правила оформления докладов и т.п.), формирование списка рассылки и рассылка информационных материалов;</w:t>
      </w:r>
    </w:p>
    <w:p>
      <w:pPr>
        <w:pStyle w:val="14"/>
        <w:numPr>
          <w:ilvl w:val="0"/>
          <w:numId w:val="17"/>
        </w:numPr>
        <w:spacing w:before="1"/>
        <w:ind w:left="0" w:firstLine="709"/>
      </w:pPr>
      <w:r>
        <w:t>размещение информации о конференции на официальном сайте университета;</w:t>
      </w:r>
    </w:p>
    <w:p>
      <w:pPr>
        <w:pStyle w:val="14"/>
        <w:numPr>
          <w:ilvl w:val="0"/>
          <w:numId w:val="17"/>
        </w:numPr>
        <w:ind w:left="0" w:firstLine="709"/>
      </w:pPr>
      <w:r>
        <w:t>взаимодействие с Жюри конференции по вопросам рецензирования докладов участников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рассмотрение заявок на участие в конференции, принятие решения</w:t>
      </w:r>
      <w:r>
        <w:rPr>
          <w:spacing w:val="40"/>
        </w:rPr>
        <w:t xml:space="preserve"> </w:t>
      </w:r>
      <w:r>
        <w:t>о допуске к участию в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взаимодействие с ректоратом (деканатом), кафедрами вуза, на базе которого проводится конференция, по вопросам подготовки, организации и проведения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оформление и подготовка помещений для проведения заседаний конференции;</w:t>
      </w:r>
    </w:p>
    <w:p>
      <w:pPr>
        <w:pStyle w:val="14"/>
        <w:numPr>
          <w:ilvl w:val="0"/>
          <w:numId w:val="17"/>
        </w:numPr>
        <w:ind w:left="0" w:firstLine="709"/>
        <w:rPr>
          <w:spacing w:val="-2"/>
        </w:rPr>
      </w:pPr>
      <w:r>
        <w:t>издание</w:t>
      </w:r>
      <w:r>
        <w:rPr>
          <w:spacing w:val="-4"/>
        </w:rPr>
        <w:t xml:space="preserve"> </w:t>
      </w:r>
      <w:r>
        <w:t>сборника</w:t>
      </w:r>
      <w:r>
        <w:rPr>
          <w:spacing w:val="-6"/>
        </w:rPr>
        <w:t xml:space="preserve"> </w:t>
      </w:r>
      <w:r>
        <w:t>докладов</w:t>
      </w:r>
      <w:r>
        <w:rPr>
          <w:spacing w:val="-4"/>
        </w:rPr>
        <w:t xml:space="preserve"> </w:t>
      </w:r>
      <w:r>
        <w:rPr>
          <w:spacing w:val="-2"/>
        </w:rPr>
        <w:t>конференции;</w:t>
      </w:r>
    </w:p>
    <w:p>
      <w:pPr>
        <w:pStyle w:val="14"/>
        <w:numPr>
          <w:ilvl w:val="0"/>
          <w:numId w:val="17"/>
        </w:numPr>
        <w:ind w:left="0" w:firstLine="709"/>
        <w:rPr>
          <w:spacing w:val="-2"/>
        </w:rPr>
      </w:pPr>
      <w:r>
        <w:t>определение</w:t>
      </w:r>
      <w:r>
        <w:rPr>
          <w:spacing w:val="-1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награждение</w:t>
      </w:r>
      <w:r>
        <w:rPr>
          <w:spacing w:val="-5"/>
        </w:rPr>
        <w:t xml:space="preserve"> </w:t>
      </w:r>
      <w:r>
        <w:t>победителей</w:t>
      </w:r>
      <w:r>
        <w:rPr>
          <w:spacing w:val="-4"/>
        </w:rPr>
        <w:t xml:space="preserve"> </w:t>
      </w:r>
      <w:r>
        <w:rPr>
          <w:spacing w:val="-2"/>
        </w:rPr>
        <w:t>конференции.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Оценку работ, представленных на конференцию, осуществляет Жюри конференции, состоящее из представителей профессорско-преподавательского состава университета и работников технического блока </w:t>
      </w:r>
      <w:r>
        <w:rPr>
          <w:bCs/>
          <w:color w:val="000000"/>
          <w:sz w:val="28"/>
          <w:szCs w:val="28"/>
        </w:rPr>
        <w:t>ПАО «Россети Волга»</w:t>
      </w:r>
      <w:r>
        <w:rPr>
          <w:sz w:val="28"/>
          <w:szCs w:val="28"/>
        </w:rPr>
        <w:t>.</w:t>
      </w:r>
    </w:p>
    <w:p>
      <w:pPr>
        <w:pStyle w:val="14"/>
        <w:ind w:left="0" w:firstLine="709"/>
      </w:pPr>
      <w:r>
        <w:rPr>
          <w:spacing w:val="-2"/>
        </w:rPr>
        <w:t xml:space="preserve">3.3. Жюри конференции осуществляет </w:t>
      </w:r>
      <w:r>
        <w:t>предварительное рецензирование докладов участников конференции, поданных с заявкой на участие в конференции, выдачу по</w:t>
      </w:r>
      <w:r>
        <w:rPr>
          <w:spacing w:val="40"/>
        </w:rPr>
        <w:t xml:space="preserve"> </w:t>
      </w:r>
      <w:r>
        <w:t>ним замечаний (предложений, рекомендаций), формируют программу конференции (группировка прошедших рецензирование и редактирование докладов по научным направлениям, распределение их по секциям; назначение президиумов пленарных и секционных заседаний).</w:t>
      </w:r>
    </w:p>
    <w:p>
      <w:pPr>
        <w:pStyle w:val="14"/>
        <w:ind w:left="0" w:firstLine="709"/>
      </w:pPr>
      <w:r>
        <w:t>3.4. Для проведения конференции вузом, на базе которого проводится конференция, назначается координатор конференции, входящий в Оргкомитет и организующий его деятельность, а также определяется перечень работников и студентов вуза, которые будут реализовывать мероприятия по организации конференции.</w:t>
      </w: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4. Этапы проведения конференции</w:t>
      </w:r>
    </w:p>
    <w:p>
      <w:pPr>
        <w:shd w:val="clear" w:color="auto" w:fill="FFFFFF"/>
        <w:tabs>
          <w:tab w:val="num" w:pos="0"/>
          <w:tab w:val="num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Конференция проводится в четыре этапа:</w:t>
      </w:r>
    </w:p>
    <w:p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этап (заочный) – прием заявок и работ </w:t>
      </w:r>
      <w:r>
        <w:rPr>
          <w:color w:val="0070C0"/>
          <w:sz w:val="28"/>
          <w:szCs w:val="28"/>
        </w:rPr>
        <w:t xml:space="preserve">с 01 августа по 31 октября 2026 года </w:t>
      </w:r>
      <w:r>
        <w:rPr>
          <w:sz w:val="28"/>
          <w:szCs w:val="28"/>
        </w:rPr>
        <w:t xml:space="preserve">(прием заявок и работ осуществляется не позднее 23 часов 59 минут по московскому времени </w:t>
      </w:r>
      <w:r>
        <w:rPr>
          <w:color w:val="0070C0"/>
          <w:sz w:val="28"/>
          <w:szCs w:val="28"/>
        </w:rPr>
        <w:t>31 октября 2026 года</w:t>
      </w:r>
      <w:r>
        <w:rPr>
          <w:sz w:val="28"/>
          <w:szCs w:val="28"/>
        </w:rPr>
        <w:t>);</w:t>
      </w:r>
    </w:p>
    <w:p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этап (заочный) – оценка и отбор заявок и работ </w:t>
      </w:r>
      <w:r>
        <w:rPr>
          <w:color w:val="0070C0"/>
          <w:sz w:val="28"/>
          <w:szCs w:val="28"/>
        </w:rPr>
        <w:t>с 01 ноября по 16 ноября 2026 года</w:t>
      </w:r>
      <w:r>
        <w:rPr>
          <w:sz w:val="28"/>
          <w:szCs w:val="28"/>
        </w:rPr>
        <w:t xml:space="preserve"> (включительно);</w:t>
      </w:r>
    </w:p>
    <w:p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этап (очный) – очная защита работ </w:t>
      </w:r>
      <w:r>
        <w:rPr>
          <w:color w:val="0070C0"/>
          <w:sz w:val="28"/>
          <w:szCs w:val="28"/>
        </w:rPr>
        <w:t xml:space="preserve">в период декабрь 2026 года </w:t>
      </w:r>
      <w:bookmarkStart w:id="0" w:name="_GoBack"/>
      <w:r>
        <w:rPr>
          <w:color w:val="0070C0"/>
          <w:sz w:val="28"/>
          <w:szCs w:val="28"/>
        </w:rPr>
        <w:t>(даты проведения будут сообщены дополнительно)</w:t>
      </w:r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на площадке университета.</w:t>
      </w:r>
    </w:p>
    <w:p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 этап – публикация сборника материалов конференции.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</w:p>
    <w:p>
      <w:pPr>
        <w:pStyle w:val="2"/>
        <w:ind w:firstLine="709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5. Порядок подачи заявок и рецензирования работ участников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 </w:t>
      </w:r>
      <w:r>
        <w:rPr>
          <w:sz w:val="28"/>
          <w:szCs w:val="28"/>
        </w:rPr>
        <w:t>Форма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 в конференции – </w:t>
      </w:r>
      <w:r>
        <w:rPr>
          <w:bCs/>
          <w:spacing w:val="-2"/>
          <w:sz w:val="28"/>
          <w:szCs w:val="28"/>
        </w:rPr>
        <w:t xml:space="preserve">очная, </w:t>
      </w:r>
      <w:r>
        <w:rPr>
          <w:spacing w:val="-2"/>
          <w:sz w:val="28"/>
          <w:szCs w:val="28"/>
        </w:rPr>
        <w:t xml:space="preserve">заочная (выступление на конференции в формате видеосвязи). </w:t>
      </w:r>
      <w:r>
        <w:rPr>
          <w:sz w:val="28"/>
          <w:szCs w:val="28"/>
        </w:rPr>
        <w:t>Официальны</w:t>
      </w:r>
      <w:r>
        <w:t>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язык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конференции</w:t>
      </w:r>
      <w:r>
        <w:t xml:space="preserve"> –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русский</w:t>
      </w:r>
      <w:r>
        <w:t xml:space="preserve">. </w:t>
      </w:r>
      <w:r>
        <w:rPr>
          <w:sz w:val="28"/>
          <w:szCs w:val="28"/>
        </w:rPr>
        <w:t>Организационный взнос не предусмотрен.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Один участник может подать несколько заявок с разными темами докладов, в том числе по одному научному направлению. При определении победителей конференции такие доклады рассматриваются как независимые.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Научные направления (секции) конференции соответствуют Исследовательским комитетам СИГРЭ:</w:t>
      </w:r>
    </w:p>
    <w:p>
      <w:pPr>
        <w:pStyle w:val="a3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А2. Силовые трансформаторы и реакторы. Основные вызовы для сегмента силовых трансформаторов. Цифровизация силовых трансформаторов. Предотвращение, обнаружение и расследование отказов. </w:t>
      </w:r>
    </w:p>
    <w:p>
      <w:pPr>
        <w:pStyle w:val="a3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B2. Воздушные линии. Модернизация ВЛ и новые технологии. Оценка неисправности и восстановление ВЛ. Устойчивость и влияние на изменение климата.</w:t>
      </w:r>
    </w:p>
    <w:p>
      <w:pPr>
        <w:pStyle w:val="a3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C3. Экологически устойчивое развитие энергосистем и их влияние на окружающую среду. Сохранение и расширение биоразнообразия. Позитивный вклад. Построение экологичной энергосистемы для будущего. Раскрытие сведений об экологичности.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5.4. Правила оформления докладов регламентируются отдельным документом, утверждающимся Организационным комитетом конференции.</w:t>
      </w:r>
    </w:p>
    <w:p>
      <w:pPr>
        <w:shd w:val="clear" w:color="auto" w:fill="FFFFFF"/>
        <w:tabs>
          <w:tab w:val="left" w:pos="850"/>
        </w:tabs>
        <w:ind w:right="-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5.5. Для участия в конференции необходимо </w:t>
      </w:r>
      <w:r>
        <w:rPr>
          <w:sz w:val="28"/>
          <w:szCs w:val="28"/>
        </w:rPr>
        <w:t>отправить заявку, на участие в конференции, путем заполнения формы на сайте ПАО «Россети Волга»</w:t>
      </w:r>
      <w:r>
        <w:t xml:space="preserve"> </w:t>
      </w:r>
      <w:hyperlink r:id="rId11" w:history="1">
        <w:r>
          <w:rPr>
            <w:rStyle w:val="af3"/>
            <w:sz w:val="28"/>
          </w:rPr>
          <w:t>https://www.rossetivolga.ru/ru/o_kompanii/innovatsio/molodez</w:t>
        </w:r>
        <w:r>
          <w:rPr>
            <w:rStyle w:val="af3"/>
            <w:sz w:val="28"/>
          </w:rPr>
          <w:t>h</w:t>
        </w:r>
        <w:r>
          <w:rPr>
            <w:rStyle w:val="af3"/>
            <w:sz w:val="28"/>
          </w:rPr>
          <w:t>na/fform/</w:t>
        </w:r>
      </w:hyperlink>
      <w:r>
        <w:rPr>
          <w:sz w:val="28"/>
          <w:szCs w:val="28"/>
        </w:rPr>
        <w:t xml:space="preserve">, приложив доклад и дополнительные материалы к докладу (на усмотрение участника), либо путем отправки заполненной формы (в соответствии с Приложением 1), содержащую информацию об участниках, доклад и дополнительные материалы к докладу (на усмотрение участника) на адреса электронной почты: </w:t>
      </w:r>
      <w:hyperlink r:id="rId12" w:history="1">
        <w:r>
          <w:rPr>
            <w:rStyle w:val="af3"/>
            <w:sz w:val="28"/>
            <w:szCs w:val="28"/>
          </w:rPr>
          <w:t>case@rossetivolga.ru</w:t>
        </w:r>
      </w:hyperlink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hyperlink r:id="rId13" w:history="1">
        <w:r>
          <w:rPr>
            <w:rStyle w:val="af3"/>
            <w:sz w:val="28"/>
            <w:szCs w:val="28"/>
          </w:rPr>
          <w:t>energetika@vavilovsar.ru</w:t>
        </w:r>
      </w:hyperlink>
      <w:r>
        <w:rPr>
          <w:color w:val="FF0000"/>
          <w:sz w:val="28"/>
          <w:szCs w:val="28"/>
        </w:rPr>
        <w:t>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5.6. На любом этапе проведения конференции организаторы вправе запросить у участников дополнительные документы и (или) информацию, связанную с их заявкой.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5.7. Работы оцениваются по следующим критериям:</w:t>
      </w:r>
    </w:p>
    <w:p>
      <w:pPr>
        <w:pStyle w:val="a3"/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Актуальность: степень важности исследования на данный момент для решения определенной проблемы, задачи или вопроса.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Научная новизна: доклад содержит решение новой научной задачи или новые разработки, расширяющие существующие границы знаний в электроэнергетической отрасли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Практическая значимость: возможность использования данных доклада в административных структурах, в реальном секторе экономики, в образовательной деятельности и т.д.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Ответы на вопросы: владение материалом, личный вклад автора в работу, владение терминологическим аппаратом, умение объяснить сущность явлений, процессов, делать выводы и обобщения (критерий добавляется на этапе защиты работ).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Презентация: визуальное представление работы, качество электронной презентации, ораторские способности докладчика, умение привлечь аудиторию (критерий добавляется на этапе защиты работ).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каждому из критериев выставляется оценка от 0 до 5, итоговая сумма подсчитывается путем суммирования баллов по пяти выставленным критериям.</w:t>
      </w:r>
    </w:p>
    <w:p>
      <w:pPr>
        <w:tabs>
          <w:tab w:val="left" w:pos="1432"/>
        </w:tabs>
        <w:ind w:right="135" w:firstLine="709"/>
        <w:jc w:val="both"/>
        <w:rPr>
          <w:sz w:val="28"/>
        </w:rPr>
      </w:pPr>
      <w:r>
        <w:rPr>
          <w:sz w:val="28"/>
        </w:rPr>
        <w:t>5.8. Материалы доклада, поступившие в срок и в соответствии с требованиями, определенными настоящим Положением, проходят предварительное рецензирование. Члены Жюри имеют право запрашивать у участника (соавторов) дополнительную информацию по материалам доклада.</w:t>
      </w:r>
    </w:p>
    <w:p>
      <w:pPr>
        <w:tabs>
          <w:tab w:val="left" w:pos="1806"/>
        </w:tabs>
        <w:ind w:right="138" w:firstLine="709"/>
        <w:jc w:val="both"/>
        <w:rPr>
          <w:sz w:val="28"/>
        </w:rPr>
      </w:pPr>
      <w:r>
        <w:rPr>
          <w:sz w:val="28"/>
        </w:rPr>
        <w:t>5.9. Рецензирование осуществляется квалифицированными экспертами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соответствующим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направлениям</w:t>
      </w:r>
      <w:r>
        <w:rPr>
          <w:spacing w:val="33"/>
          <w:sz w:val="28"/>
          <w:szCs w:val="28"/>
        </w:rPr>
        <w:t xml:space="preserve"> </w:t>
      </w:r>
      <w:r>
        <w:rPr>
          <w:sz w:val="28"/>
        </w:rPr>
        <w:t>(секциям)</w:t>
      </w:r>
      <w:r>
        <w:rPr>
          <w:spacing w:val="33"/>
          <w:sz w:val="28"/>
          <w:szCs w:val="28"/>
        </w:rPr>
        <w:t xml:space="preserve"> </w:t>
      </w:r>
      <w:r>
        <w:rPr>
          <w:sz w:val="28"/>
        </w:rPr>
        <w:t>конференции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 xml:space="preserve">из </w:t>
      </w:r>
      <w:r>
        <w:rPr>
          <w:sz w:val="28"/>
          <w:szCs w:val="28"/>
        </w:rPr>
        <w:t>числа сотрудников вузов и энергетических компаний.</w:t>
      </w:r>
    </w:p>
    <w:p>
      <w:pPr>
        <w:tabs>
          <w:tab w:val="left" w:pos="1544"/>
        </w:tabs>
        <w:ind w:right="134" w:firstLine="709"/>
        <w:jc w:val="both"/>
        <w:rPr>
          <w:sz w:val="28"/>
        </w:rPr>
      </w:pPr>
      <w:r>
        <w:rPr>
          <w:sz w:val="28"/>
        </w:rPr>
        <w:t>5.10. На основании рецензии членов Жюри, рассматривающих материалы доклада участника, Оргкомитет принимает решение о допуске к участию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в конференции. Данное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решение доводится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до участника (соавторов) по адресу электронной почты, указанному в заявке.</w:t>
      </w:r>
    </w:p>
    <w:p>
      <w:pPr>
        <w:tabs>
          <w:tab w:val="left" w:pos="1544"/>
        </w:tabs>
        <w:ind w:right="134"/>
        <w:rPr>
          <w:sz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6. Определение</w:t>
      </w:r>
      <w:r>
        <w:rPr>
          <w:rFonts w:ascii="Times New Roman" w:hAnsi="Times New Roman" w:cs="Times New Roman"/>
          <w:i w:val="0"/>
          <w:spacing w:val="-11"/>
        </w:rPr>
        <w:t xml:space="preserve"> </w:t>
      </w:r>
      <w:r>
        <w:rPr>
          <w:rFonts w:ascii="Times New Roman" w:hAnsi="Times New Roman" w:cs="Times New Roman"/>
          <w:i w:val="0"/>
        </w:rPr>
        <w:t>и</w:t>
      </w:r>
      <w:r>
        <w:rPr>
          <w:rFonts w:ascii="Times New Roman" w:hAnsi="Times New Roman" w:cs="Times New Roman"/>
          <w:i w:val="0"/>
          <w:spacing w:val="-11"/>
        </w:rPr>
        <w:t xml:space="preserve"> </w:t>
      </w:r>
      <w:r>
        <w:rPr>
          <w:rFonts w:ascii="Times New Roman" w:hAnsi="Times New Roman" w:cs="Times New Roman"/>
          <w:i w:val="0"/>
        </w:rPr>
        <w:t>награждение</w:t>
      </w:r>
      <w:r>
        <w:rPr>
          <w:rFonts w:ascii="Times New Roman" w:hAnsi="Times New Roman" w:cs="Times New Roman"/>
          <w:i w:val="0"/>
          <w:spacing w:val="-9"/>
        </w:rPr>
        <w:t xml:space="preserve"> </w:t>
      </w:r>
      <w:r>
        <w:rPr>
          <w:rFonts w:ascii="Times New Roman" w:hAnsi="Times New Roman" w:cs="Times New Roman"/>
          <w:i w:val="0"/>
        </w:rPr>
        <w:t>победителей</w:t>
      </w:r>
      <w:r>
        <w:rPr>
          <w:rFonts w:ascii="Times New Roman" w:hAnsi="Times New Roman" w:cs="Times New Roman"/>
          <w:i w:val="0"/>
          <w:spacing w:val="-10"/>
        </w:rPr>
        <w:t xml:space="preserve"> </w:t>
      </w:r>
      <w:r>
        <w:rPr>
          <w:rFonts w:ascii="Times New Roman" w:hAnsi="Times New Roman" w:cs="Times New Roman"/>
          <w:i w:val="0"/>
          <w:spacing w:val="-2"/>
        </w:rPr>
        <w:t>конференции</w:t>
      </w:r>
    </w:p>
    <w:p>
      <w:pPr>
        <w:tabs>
          <w:tab w:val="left" w:pos="1487"/>
        </w:tabs>
        <w:ind w:right="135" w:firstLine="709"/>
        <w:jc w:val="both"/>
      </w:pPr>
      <w:r>
        <w:rPr>
          <w:sz w:val="28"/>
        </w:rPr>
        <w:t>6.1. Итоги конференции подводятся отдельно президиумами</w:t>
      </w:r>
      <w:r>
        <w:rPr>
          <w:sz w:val="28"/>
          <w:szCs w:val="28"/>
        </w:rPr>
        <w:t>. Все участники конференции получают сертификат участника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конференции.</w:t>
      </w:r>
    </w:p>
    <w:p>
      <w:pPr>
        <w:tabs>
          <w:tab w:val="left" w:pos="1449"/>
        </w:tabs>
        <w:ind w:right="137" w:firstLine="709"/>
        <w:jc w:val="both"/>
        <w:rPr>
          <w:sz w:val="28"/>
        </w:rPr>
      </w:pPr>
      <w:r>
        <w:rPr>
          <w:sz w:val="28"/>
        </w:rPr>
        <w:t>6.2. При оценке и сопоставлении докладов в целях определения победителей конференции Оргкомитет принимает во внимание и учитывает все материалы, полученные от президиума и членов Программного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</w:rPr>
        <w:t>комитета по каждому докладу.</w:t>
      </w:r>
    </w:p>
    <w:p>
      <w:pPr>
        <w:tabs>
          <w:tab w:val="left" w:pos="1396"/>
        </w:tabs>
        <w:ind w:right="135" w:firstLine="709"/>
        <w:jc w:val="both"/>
        <w:rPr>
          <w:sz w:val="28"/>
        </w:rPr>
      </w:pPr>
      <w:r>
        <w:rPr>
          <w:sz w:val="28"/>
        </w:rPr>
        <w:t>6.3. Победителями конференции признаются участники, показавшие наилучшие результаты, и докладам которых на основании результатов оценки и сопоставления присвоены порядковые номера: первый, второй и третий в двух номинациях: «Студент» (для бакалавров, специалистов и магистрантов) и «Молодой специалист» (для молодых специалистов компаний, преподавателей и аспирантов). Победители награждаются в торжественной обстановке на закрытии конференции соответственно дипломами первой, второй и третьей степени. Оргкомитет вправе ввести дополнительные категории победителей.</w:t>
      </w:r>
    </w:p>
    <w:p>
      <w:pPr>
        <w:pStyle w:val="14"/>
      </w:pPr>
      <w:bookmarkStart w:id="1" w:name="undefined"/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7. Публикация</w:t>
      </w:r>
      <w:r>
        <w:rPr>
          <w:rFonts w:ascii="Times New Roman" w:hAnsi="Times New Roman" w:cs="Times New Roman"/>
          <w:i w:val="0"/>
          <w:spacing w:val="-10"/>
        </w:rPr>
        <w:t xml:space="preserve"> </w:t>
      </w:r>
      <w:r>
        <w:rPr>
          <w:rFonts w:ascii="Times New Roman" w:hAnsi="Times New Roman" w:cs="Times New Roman"/>
          <w:i w:val="0"/>
        </w:rPr>
        <w:t>сборника докладов</w:t>
      </w:r>
      <w:r>
        <w:rPr>
          <w:rFonts w:ascii="Times New Roman" w:hAnsi="Times New Roman" w:cs="Times New Roman"/>
          <w:i w:val="0"/>
          <w:spacing w:val="-7"/>
        </w:rPr>
        <w:t xml:space="preserve"> </w:t>
      </w:r>
      <w:bookmarkEnd w:id="1"/>
      <w:r>
        <w:rPr>
          <w:rFonts w:ascii="Times New Roman" w:hAnsi="Times New Roman" w:cs="Times New Roman"/>
          <w:i w:val="0"/>
          <w:spacing w:val="-2"/>
        </w:rPr>
        <w:t>конференции</w:t>
      </w:r>
    </w:p>
    <w:p>
      <w:pPr>
        <w:tabs>
          <w:tab w:val="left" w:pos="1578"/>
        </w:tabs>
        <w:ind w:right="139" w:firstLine="709"/>
        <w:jc w:val="both"/>
        <w:rPr>
          <w:sz w:val="28"/>
        </w:rPr>
      </w:pPr>
      <w:r>
        <w:rPr>
          <w:sz w:val="28"/>
        </w:rPr>
        <w:t>7.1. Доклады участников, заявившихся на конференцию, успешно прошедшие рецензирование, но по каким-либо причинам не заслушанные на пленарных, секционных заседаниях конференции, не попадают в сборник и не будут опубликованы, а также размещены в электронной базе Российского индекса научного цитирования (РИНЦ).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  <w:r>
        <w:rPr>
          <w:sz w:val="28"/>
        </w:rPr>
        <w:t>7.2. Все доклады, соответствующие установленным требованиям, прошедшие рецензирование и обсуждение на заседаниях секций конференции, издаются в электронной версии в сборнике трудов в авторской редакции и направляются в электронную базу Российского индекса научного цитирования (РИНЦ).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  <w:r>
        <w:rPr>
          <w:sz w:val="28"/>
        </w:rPr>
        <w:t>7.3. Оргкомитет может оказать содействие обладателям дипломов конференции в публикации материалов на основе их докладов в российских отраслевых научно-технических изданиях, в том числе в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Высшей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аттестационной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комиссией при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Министерстве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науки и высшего образования Российской Федерации.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</w:p>
    <w:p>
      <w:pPr>
        <w:pStyle w:val="TableParagraph"/>
        <w:ind w:left="0"/>
        <w:rPr>
          <w:spacing w:val="-2"/>
          <w:sz w:val="28"/>
          <w:szCs w:val="28"/>
        </w:rPr>
      </w:pPr>
    </w:p>
    <w:p>
      <w:pPr>
        <w:pStyle w:val="3"/>
        <w:jc w:val="right"/>
      </w:pPr>
      <w:r>
        <w:rPr>
          <w:sz w:val="28"/>
          <w:szCs w:val="28"/>
        </w:rPr>
        <w:br w:type="page" w:clear="all"/>
      </w:r>
      <w:r>
        <w:lastRenderedPageBreak/>
        <w:t>Приложение 1</w:t>
      </w:r>
    </w:p>
    <w:p>
      <w:pPr>
        <w:widowControl w:val="0"/>
        <w:ind w:firstLine="6237"/>
        <w:jc w:val="right"/>
      </w:pPr>
      <w:r>
        <w:t xml:space="preserve">к Положению о Конференции </w:t>
      </w:r>
    </w:p>
    <w:p>
      <w:pPr>
        <w:jc w:val="center"/>
      </w:pPr>
    </w:p>
    <w:p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Форма Заявки на участие в конференции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Анкета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участника молодежной научной конференции молодежной секции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РНК СИГРЭ «Энергия Будущего»</w:t>
      </w:r>
    </w:p>
    <w:p>
      <w:pPr>
        <w:jc w:val="center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Изучив Положение о молодежной научной конференции Молодежной секции РНК СИГРЭ, с условиями и требованиями Конференции </w:t>
      </w:r>
      <w:r>
        <w:rPr>
          <w:sz w:val="28"/>
          <w:szCs w:val="28"/>
        </w:rPr>
        <w:br/>
        <w:t>ознакомле</w:t>
      </w:r>
      <w:r>
        <w:rPr>
          <w:sz w:val="28"/>
          <w:szCs w:val="28"/>
          <w:u w:val="single"/>
        </w:rPr>
        <w:t>н</w:t>
      </w:r>
      <w:r>
        <w:rPr>
          <w:sz w:val="28"/>
          <w:szCs w:val="28"/>
        </w:rPr>
        <w:t>(-на,-ны) и соглас</w:t>
      </w:r>
      <w:r>
        <w:rPr>
          <w:sz w:val="28"/>
          <w:szCs w:val="28"/>
          <w:u w:val="single"/>
        </w:rPr>
        <w:t>ен</w:t>
      </w:r>
      <w:r>
        <w:rPr>
          <w:sz w:val="28"/>
          <w:szCs w:val="28"/>
        </w:rPr>
        <w:t>(-на,-ны). Достоверность представленной в составе заявки информации гарантиру</w:t>
      </w:r>
      <w:r>
        <w:rPr>
          <w:sz w:val="28"/>
          <w:szCs w:val="28"/>
          <w:u w:val="single"/>
        </w:rPr>
        <w:t>ю</w:t>
      </w:r>
      <w:r>
        <w:rPr>
          <w:sz w:val="28"/>
          <w:szCs w:val="28"/>
        </w:rPr>
        <w:t>(ем).</w:t>
      </w:r>
    </w:p>
    <w:p>
      <w:pPr>
        <w:ind w:firstLine="708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671"/>
      </w:tblGrid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Фамилия, имя, отчество участника(ов)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вуза (для студентов, аспирантов)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Ученая степень / Звание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 для связи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Секция (указать): 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1) «Проблемы и перспективы развития энергетики, робототехники и электро-технологий»; </w:t>
            </w:r>
          </w:p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2) «Энергия будущего».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доклада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доклада (указать):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А2. Силовые трансформаторы и реакторы. Основные вызовы для сегмента силовых трансформаторов. Цифровизация силовых трансформаторов. Предотвращение, обнаружение и расследование отказов. 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B2. Воздушные линии. Модернизация ВЛ и новые технологии. Оценка неисправности и восстановление ВЛ. Устойчивость и влияние на изменение климата.</w:t>
            </w:r>
          </w:p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C3. Экологически устойчивое развитие энергосистем и их влияние на окружающую среду. Сохранение и расширение биоразнообразия. Позитивный вклад. Построение экологичной энергосистемы для будущего. Раскрытие сведений об экологичности.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Приложение: </w:t>
            </w:r>
          </w:p>
          <w:p>
            <w:pPr>
              <w:pStyle w:val="a3"/>
              <w:numPr>
                <w:ilvl w:val="0"/>
                <w:numId w:val="2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Доклад</w:t>
            </w:r>
          </w:p>
          <w:p>
            <w:pPr>
              <w:pStyle w:val="a3"/>
              <w:numPr>
                <w:ilvl w:val="0"/>
                <w:numId w:val="2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Дополнительные материалы (перечисляются)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подачи заявки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участника(ов):</w:t>
            </w:r>
          </w:p>
          <w:p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>
      <w:pPr>
        <w:tabs>
          <w:tab w:val="right" w:pos="9000"/>
        </w:tabs>
      </w:pPr>
    </w:p>
    <w:p>
      <w:pPr>
        <w:tabs>
          <w:tab w:val="left" w:pos="2183"/>
        </w:tabs>
      </w:pPr>
    </w:p>
    <w:p>
      <w:pPr>
        <w:tabs>
          <w:tab w:val="left" w:pos="2183"/>
        </w:tabs>
      </w:pPr>
    </w:p>
    <w:p>
      <w:pPr>
        <w:pStyle w:val="3"/>
        <w:jc w:val="right"/>
      </w:pPr>
      <w:r>
        <w:lastRenderedPageBreak/>
        <w:t>Приложение 2</w:t>
      </w:r>
    </w:p>
    <w:p>
      <w:pPr>
        <w:widowControl w:val="0"/>
        <w:ind w:left="6237"/>
        <w:jc w:val="right"/>
      </w:pPr>
      <w:r>
        <w:t>к Положению о Конференции</w:t>
      </w:r>
    </w:p>
    <w:p/>
    <w:p>
      <w:pPr>
        <w:rPr>
          <w:sz w:val="28"/>
          <w:szCs w:val="28"/>
        </w:rPr>
      </w:pPr>
    </w:p>
    <w:p>
      <w:pPr>
        <w:widowControl w:val="0"/>
        <w:jc w:val="center"/>
        <w:rPr>
          <w:rFonts w:eastAsia="Calibri"/>
          <w:b/>
          <w:spacing w:val="-4"/>
          <w:sz w:val="28"/>
          <w:szCs w:val="28"/>
        </w:rPr>
      </w:pPr>
      <w:r>
        <w:rPr>
          <w:rFonts w:eastAsia="Calibri"/>
          <w:b/>
          <w:spacing w:val="-4"/>
          <w:sz w:val="28"/>
          <w:szCs w:val="28"/>
        </w:rPr>
        <w:t>Состав организационного комитета Конференции</w:t>
      </w:r>
    </w:p>
    <w:p>
      <w:pPr>
        <w:widowControl w:val="0"/>
        <w:jc w:val="center"/>
        <w:rPr>
          <w:rFonts w:eastAsia="Calibri"/>
          <w:b/>
          <w:spacing w:val="-4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7"/>
        <w:gridCol w:w="6319"/>
      </w:tblGrid>
      <w:tr>
        <w:tc>
          <w:tcPr>
            <w:tcW w:w="3167" w:type="dxa"/>
          </w:tcPr>
          <w:p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6319" w:type="dxa"/>
          </w:tcPr>
          <w:p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Глубокий Алексей Юрьевич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Генерального директора - главный инженер ПАО «Россети Волга», сопредседатель организационного комитета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Бакиров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Мударисович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Д.т.н., директор Института инженерии и робототехники ФГБОУ ВО «Вавиловский университет», сопредседатель организационного комитета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Бахтеев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К.т.н., заведующий кафедрой «Электрооборудование, энергоснабжение и роботизация» ВО «Вавиловский университет»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Багаев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главного инженера по технологическому развитию и инновациям </w:t>
            </w:r>
            <w:r>
              <w:rPr>
                <w:sz w:val="28"/>
                <w:szCs w:val="28"/>
              </w:rPr>
              <w:br/>
              <w:t>ПАО «Россети Волга»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Угаров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Григорьевич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Д.т.н., профессор кафедры «Электрооборудование, энергоснабжение и роботизация» ВО «Вавиловский университет»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Оськин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Д.т.н., заведующий кафедрой «Электрических машин и электропривода» ФГБОУ ВО Кубанский ГАУ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Садыкова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Лязат Анатольевна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К.т.н., ассоциированный профессор кафедры «Техника и технологии» Западно-Казахстанского инновационно-технологического университета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Дыранов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Борисович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Заместителя Директора - главного инженера</w:t>
            </w:r>
            <w:r>
              <w:t xml:space="preserve"> </w:t>
            </w:r>
            <w:r>
              <w:rPr>
                <w:sz w:val="28"/>
                <w:szCs w:val="28"/>
              </w:rPr>
              <w:t>филиала ПАО «Россети Волга» - «Саратовские РС»</w:t>
            </w:r>
          </w:p>
        </w:tc>
      </w:tr>
      <w:tr>
        <w:tc>
          <w:tcPr>
            <w:tcW w:w="3167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6319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департамента технологического развития и инноваций ПАО «Россети Волга», ответственный секретарь организационного комитета</w:t>
            </w:r>
          </w:p>
        </w:tc>
      </w:tr>
    </w:tbl>
    <w:p>
      <w:pPr>
        <w:widowControl w:val="0"/>
        <w:ind w:firstLine="6096"/>
        <w:jc w:val="both"/>
        <w:rPr>
          <w:highlight w:val="green"/>
        </w:rPr>
      </w:pPr>
    </w:p>
    <w:p>
      <w:pPr>
        <w:widowControl w:val="0"/>
        <w:ind w:firstLine="6237"/>
        <w:jc w:val="both"/>
        <w:rPr>
          <w:highlight w:val="green"/>
        </w:rPr>
      </w:pPr>
    </w:p>
    <w:sectPr>
      <w:headerReference w:type="even" r:id="rId14"/>
      <w:headerReference w:type="default" r:id="rId15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c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c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>
      <w:rPr>
        <w:rStyle w:val="afe"/>
        <w:noProof/>
      </w:rPr>
      <w:t>4</w:t>
    </w:r>
    <w:r>
      <w:rPr>
        <w:rStyle w:val="afe"/>
      </w:rPr>
      <w:fldChar w:fldCharType="end"/>
    </w:r>
  </w:p>
  <w:p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361"/>
    <w:multiLevelType w:val="multilevel"/>
    <w:tmpl w:val="9CFAB8B0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04206504"/>
    <w:multiLevelType w:val="hybridMultilevel"/>
    <w:tmpl w:val="278A3180"/>
    <w:lvl w:ilvl="0" w:tplc="76E835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5CC8E734">
      <w:start w:val="1"/>
      <w:numFmt w:val="lowerLetter"/>
      <w:lvlText w:val="%2."/>
      <w:lvlJc w:val="left"/>
      <w:pPr>
        <w:ind w:left="1440" w:hanging="360"/>
      </w:pPr>
    </w:lvl>
    <w:lvl w:ilvl="2" w:tplc="63AAEE52">
      <w:start w:val="1"/>
      <w:numFmt w:val="lowerRoman"/>
      <w:lvlText w:val="%3."/>
      <w:lvlJc w:val="right"/>
      <w:pPr>
        <w:ind w:left="2160" w:hanging="180"/>
      </w:pPr>
    </w:lvl>
    <w:lvl w:ilvl="3" w:tplc="52AA9474">
      <w:start w:val="1"/>
      <w:numFmt w:val="decimal"/>
      <w:lvlText w:val="%4."/>
      <w:lvlJc w:val="left"/>
      <w:pPr>
        <w:ind w:left="2880" w:hanging="360"/>
      </w:pPr>
    </w:lvl>
    <w:lvl w:ilvl="4" w:tplc="A4C0D83E">
      <w:start w:val="1"/>
      <w:numFmt w:val="lowerLetter"/>
      <w:lvlText w:val="%5."/>
      <w:lvlJc w:val="left"/>
      <w:pPr>
        <w:ind w:left="3600" w:hanging="360"/>
      </w:pPr>
    </w:lvl>
    <w:lvl w:ilvl="5" w:tplc="3D6CDA7A">
      <w:start w:val="1"/>
      <w:numFmt w:val="lowerRoman"/>
      <w:lvlText w:val="%6."/>
      <w:lvlJc w:val="right"/>
      <w:pPr>
        <w:ind w:left="4320" w:hanging="180"/>
      </w:pPr>
    </w:lvl>
    <w:lvl w:ilvl="6" w:tplc="1C9CDFD2">
      <w:start w:val="1"/>
      <w:numFmt w:val="decimal"/>
      <w:lvlText w:val="%7."/>
      <w:lvlJc w:val="left"/>
      <w:pPr>
        <w:ind w:left="5040" w:hanging="360"/>
      </w:pPr>
    </w:lvl>
    <w:lvl w:ilvl="7" w:tplc="37BC9DD8">
      <w:start w:val="1"/>
      <w:numFmt w:val="lowerLetter"/>
      <w:lvlText w:val="%8."/>
      <w:lvlJc w:val="left"/>
      <w:pPr>
        <w:ind w:left="5760" w:hanging="360"/>
      </w:pPr>
    </w:lvl>
    <w:lvl w:ilvl="8" w:tplc="EFDA16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83B14"/>
    <w:multiLevelType w:val="hybridMultilevel"/>
    <w:tmpl w:val="57DC0762"/>
    <w:lvl w:ilvl="0" w:tplc="9094F714">
      <w:start w:val="1"/>
      <w:numFmt w:val="decimal"/>
      <w:lvlText w:val="%1."/>
      <w:lvlJc w:val="left"/>
      <w:pPr>
        <w:ind w:left="1804" w:hanging="1095"/>
      </w:pPr>
    </w:lvl>
    <w:lvl w:ilvl="1" w:tplc="40265E04">
      <w:start w:val="1"/>
      <w:numFmt w:val="lowerLetter"/>
      <w:lvlText w:val="%2."/>
      <w:lvlJc w:val="left"/>
      <w:pPr>
        <w:ind w:left="1789" w:hanging="360"/>
      </w:pPr>
    </w:lvl>
    <w:lvl w:ilvl="2" w:tplc="57E2CE72">
      <w:start w:val="1"/>
      <w:numFmt w:val="lowerRoman"/>
      <w:lvlText w:val="%3."/>
      <w:lvlJc w:val="right"/>
      <w:pPr>
        <w:ind w:left="2509" w:hanging="180"/>
      </w:pPr>
    </w:lvl>
    <w:lvl w:ilvl="3" w:tplc="8D86CAF4">
      <w:start w:val="1"/>
      <w:numFmt w:val="decimal"/>
      <w:lvlText w:val="%4."/>
      <w:lvlJc w:val="left"/>
      <w:pPr>
        <w:ind w:left="3229" w:hanging="360"/>
      </w:pPr>
    </w:lvl>
    <w:lvl w:ilvl="4" w:tplc="AF1A2362">
      <w:start w:val="1"/>
      <w:numFmt w:val="lowerLetter"/>
      <w:lvlText w:val="%5."/>
      <w:lvlJc w:val="left"/>
      <w:pPr>
        <w:ind w:left="3949" w:hanging="360"/>
      </w:pPr>
    </w:lvl>
    <w:lvl w:ilvl="5" w:tplc="D1CAE7B8">
      <w:start w:val="1"/>
      <w:numFmt w:val="lowerRoman"/>
      <w:lvlText w:val="%6."/>
      <w:lvlJc w:val="right"/>
      <w:pPr>
        <w:ind w:left="4669" w:hanging="180"/>
      </w:pPr>
    </w:lvl>
    <w:lvl w:ilvl="6" w:tplc="393C0046">
      <w:start w:val="1"/>
      <w:numFmt w:val="decimal"/>
      <w:lvlText w:val="%7."/>
      <w:lvlJc w:val="left"/>
      <w:pPr>
        <w:ind w:left="5389" w:hanging="360"/>
      </w:pPr>
    </w:lvl>
    <w:lvl w:ilvl="7" w:tplc="ED846DC6">
      <w:start w:val="1"/>
      <w:numFmt w:val="lowerLetter"/>
      <w:lvlText w:val="%8."/>
      <w:lvlJc w:val="left"/>
      <w:pPr>
        <w:ind w:left="6109" w:hanging="360"/>
      </w:pPr>
    </w:lvl>
    <w:lvl w:ilvl="8" w:tplc="C3E4966A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7F0560"/>
    <w:multiLevelType w:val="hybridMultilevel"/>
    <w:tmpl w:val="B6CE71A2"/>
    <w:lvl w:ilvl="0" w:tplc="D68A17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084CE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BE21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FC30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20E26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5C16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2653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9E3B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E61A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38E5351"/>
    <w:multiLevelType w:val="hybridMultilevel"/>
    <w:tmpl w:val="31EA3CCA"/>
    <w:lvl w:ilvl="0" w:tplc="7BAE5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066BA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208D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B6F9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FED3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68B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9457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902B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A642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5A17432"/>
    <w:multiLevelType w:val="hybridMultilevel"/>
    <w:tmpl w:val="631CB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F0E49"/>
    <w:multiLevelType w:val="hybridMultilevel"/>
    <w:tmpl w:val="8412370C"/>
    <w:lvl w:ilvl="0" w:tplc="5A0E3F7C">
      <w:start w:val="7"/>
      <w:numFmt w:val="decimal"/>
      <w:lvlText w:val="%1."/>
      <w:lvlJc w:val="left"/>
      <w:pPr>
        <w:ind w:left="720" w:hanging="360"/>
      </w:pPr>
      <w:rPr>
        <w:sz w:val="24"/>
      </w:rPr>
    </w:lvl>
    <w:lvl w:ilvl="1" w:tplc="EE943FA6">
      <w:start w:val="1"/>
      <w:numFmt w:val="lowerLetter"/>
      <w:lvlText w:val="%2."/>
      <w:lvlJc w:val="left"/>
      <w:pPr>
        <w:ind w:left="1440" w:hanging="360"/>
      </w:pPr>
    </w:lvl>
    <w:lvl w:ilvl="2" w:tplc="3F96CE76">
      <w:start w:val="1"/>
      <w:numFmt w:val="lowerRoman"/>
      <w:lvlText w:val="%3."/>
      <w:lvlJc w:val="right"/>
      <w:pPr>
        <w:ind w:left="2160" w:hanging="180"/>
      </w:pPr>
    </w:lvl>
    <w:lvl w:ilvl="3" w:tplc="14EE3E9A">
      <w:start w:val="1"/>
      <w:numFmt w:val="decimal"/>
      <w:lvlText w:val="%4."/>
      <w:lvlJc w:val="left"/>
      <w:pPr>
        <w:ind w:left="2880" w:hanging="360"/>
      </w:pPr>
    </w:lvl>
    <w:lvl w:ilvl="4" w:tplc="F1E09FFE">
      <w:start w:val="1"/>
      <w:numFmt w:val="lowerLetter"/>
      <w:lvlText w:val="%5."/>
      <w:lvlJc w:val="left"/>
      <w:pPr>
        <w:ind w:left="3600" w:hanging="360"/>
      </w:pPr>
    </w:lvl>
    <w:lvl w:ilvl="5" w:tplc="7144E180">
      <w:start w:val="1"/>
      <w:numFmt w:val="lowerRoman"/>
      <w:lvlText w:val="%6."/>
      <w:lvlJc w:val="right"/>
      <w:pPr>
        <w:ind w:left="4320" w:hanging="180"/>
      </w:pPr>
    </w:lvl>
    <w:lvl w:ilvl="6" w:tplc="9D1018C6">
      <w:start w:val="1"/>
      <w:numFmt w:val="decimal"/>
      <w:lvlText w:val="%7."/>
      <w:lvlJc w:val="left"/>
      <w:pPr>
        <w:ind w:left="5040" w:hanging="360"/>
      </w:pPr>
    </w:lvl>
    <w:lvl w:ilvl="7" w:tplc="C846AD00">
      <w:start w:val="1"/>
      <w:numFmt w:val="lowerLetter"/>
      <w:lvlText w:val="%8."/>
      <w:lvlJc w:val="left"/>
      <w:pPr>
        <w:ind w:left="5760" w:hanging="360"/>
      </w:pPr>
    </w:lvl>
    <w:lvl w:ilvl="8" w:tplc="6E24BB0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B6822"/>
    <w:multiLevelType w:val="hybridMultilevel"/>
    <w:tmpl w:val="65D87FAE"/>
    <w:lvl w:ilvl="0" w:tplc="B7D01CD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E5F699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30F8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AE76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A8F1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B867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223A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2AC9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EE3A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1B7A4132"/>
    <w:multiLevelType w:val="hybridMultilevel"/>
    <w:tmpl w:val="51B29428"/>
    <w:lvl w:ilvl="0" w:tplc="D3EC95C0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202C66BD"/>
    <w:multiLevelType w:val="hybridMultilevel"/>
    <w:tmpl w:val="353A78E2"/>
    <w:lvl w:ilvl="0" w:tplc="EB5A7FDA">
      <w:start w:val="6"/>
      <w:numFmt w:val="decimal"/>
      <w:lvlText w:val="%1."/>
      <w:lvlJc w:val="left"/>
      <w:pPr>
        <w:ind w:left="720" w:hanging="360"/>
      </w:pPr>
      <w:rPr>
        <w:sz w:val="24"/>
      </w:rPr>
    </w:lvl>
    <w:lvl w:ilvl="1" w:tplc="543AB582">
      <w:start w:val="1"/>
      <w:numFmt w:val="lowerLetter"/>
      <w:lvlText w:val="%2."/>
      <w:lvlJc w:val="left"/>
      <w:pPr>
        <w:ind w:left="1440" w:hanging="360"/>
      </w:pPr>
    </w:lvl>
    <w:lvl w:ilvl="2" w:tplc="C1881CE4">
      <w:start w:val="1"/>
      <w:numFmt w:val="lowerRoman"/>
      <w:lvlText w:val="%3."/>
      <w:lvlJc w:val="right"/>
      <w:pPr>
        <w:ind w:left="2160" w:hanging="180"/>
      </w:pPr>
    </w:lvl>
    <w:lvl w:ilvl="3" w:tplc="BCCEDE8C">
      <w:start w:val="1"/>
      <w:numFmt w:val="decimal"/>
      <w:lvlText w:val="%4."/>
      <w:lvlJc w:val="left"/>
      <w:pPr>
        <w:ind w:left="2880" w:hanging="360"/>
      </w:pPr>
    </w:lvl>
    <w:lvl w:ilvl="4" w:tplc="2E40CDE0">
      <w:start w:val="1"/>
      <w:numFmt w:val="lowerLetter"/>
      <w:lvlText w:val="%5."/>
      <w:lvlJc w:val="left"/>
      <w:pPr>
        <w:ind w:left="3600" w:hanging="360"/>
      </w:pPr>
    </w:lvl>
    <w:lvl w:ilvl="5" w:tplc="AB2EA884">
      <w:start w:val="1"/>
      <w:numFmt w:val="lowerRoman"/>
      <w:lvlText w:val="%6."/>
      <w:lvlJc w:val="right"/>
      <w:pPr>
        <w:ind w:left="4320" w:hanging="180"/>
      </w:pPr>
    </w:lvl>
    <w:lvl w:ilvl="6" w:tplc="8110B1D6">
      <w:start w:val="1"/>
      <w:numFmt w:val="decimal"/>
      <w:lvlText w:val="%7."/>
      <w:lvlJc w:val="left"/>
      <w:pPr>
        <w:ind w:left="5040" w:hanging="360"/>
      </w:pPr>
    </w:lvl>
    <w:lvl w:ilvl="7" w:tplc="011857FE">
      <w:start w:val="1"/>
      <w:numFmt w:val="lowerLetter"/>
      <w:lvlText w:val="%8."/>
      <w:lvlJc w:val="left"/>
      <w:pPr>
        <w:ind w:left="5760" w:hanging="360"/>
      </w:pPr>
    </w:lvl>
    <w:lvl w:ilvl="8" w:tplc="22D0111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F5717"/>
    <w:multiLevelType w:val="hybridMultilevel"/>
    <w:tmpl w:val="BEE86DB0"/>
    <w:lvl w:ilvl="0" w:tplc="6CA21EB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E2E4B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9465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C6C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103D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CC33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9037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544A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1C0E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6245B17"/>
    <w:multiLevelType w:val="multilevel"/>
    <w:tmpl w:val="B8948970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2" w15:restartNumberingAfterBreak="0">
    <w:nsid w:val="26F25D30"/>
    <w:multiLevelType w:val="hybridMultilevel"/>
    <w:tmpl w:val="1FB6DB86"/>
    <w:lvl w:ilvl="0" w:tplc="BC5EDB86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2B383608"/>
    <w:multiLevelType w:val="hybridMultilevel"/>
    <w:tmpl w:val="3C3EA1A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42E127A"/>
    <w:multiLevelType w:val="hybridMultilevel"/>
    <w:tmpl w:val="EE52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7931BD"/>
    <w:multiLevelType w:val="hybridMultilevel"/>
    <w:tmpl w:val="B7D2A70E"/>
    <w:lvl w:ilvl="0" w:tplc="713A3B28">
      <w:numFmt w:val="bullet"/>
      <w:lvlText w:val=""/>
      <w:lvlJc w:val="left"/>
      <w:pPr>
        <w:ind w:left="523" w:hanging="3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DF1CCBA8">
      <w:numFmt w:val="bullet"/>
      <w:lvlText w:val="•"/>
      <w:lvlJc w:val="left"/>
      <w:pPr>
        <w:ind w:left="1089" w:hanging="373"/>
      </w:pPr>
      <w:rPr>
        <w:rFonts w:hint="default"/>
        <w:lang w:val="ru-RU" w:eastAsia="en-US" w:bidi="ar-SA"/>
      </w:rPr>
    </w:lvl>
    <w:lvl w:ilvl="2" w:tplc="6A6C0E44">
      <w:numFmt w:val="bullet"/>
      <w:lvlText w:val="•"/>
      <w:lvlJc w:val="left"/>
      <w:pPr>
        <w:ind w:left="1658" w:hanging="373"/>
      </w:pPr>
      <w:rPr>
        <w:rFonts w:hint="default"/>
        <w:lang w:val="ru-RU" w:eastAsia="en-US" w:bidi="ar-SA"/>
      </w:rPr>
    </w:lvl>
    <w:lvl w:ilvl="3" w:tplc="97D6825C">
      <w:numFmt w:val="bullet"/>
      <w:lvlText w:val="•"/>
      <w:lvlJc w:val="left"/>
      <w:pPr>
        <w:ind w:left="2227" w:hanging="373"/>
      </w:pPr>
      <w:rPr>
        <w:rFonts w:hint="default"/>
        <w:lang w:val="ru-RU" w:eastAsia="en-US" w:bidi="ar-SA"/>
      </w:rPr>
    </w:lvl>
    <w:lvl w:ilvl="4" w:tplc="6170A124">
      <w:numFmt w:val="bullet"/>
      <w:lvlText w:val="•"/>
      <w:lvlJc w:val="left"/>
      <w:pPr>
        <w:ind w:left="2796" w:hanging="373"/>
      </w:pPr>
      <w:rPr>
        <w:rFonts w:hint="default"/>
        <w:lang w:val="ru-RU" w:eastAsia="en-US" w:bidi="ar-SA"/>
      </w:rPr>
    </w:lvl>
    <w:lvl w:ilvl="5" w:tplc="62CEF97C">
      <w:numFmt w:val="bullet"/>
      <w:lvlText w:val="•"/>
      <w:lvlJc w:val="left"/>
      <w:pPr>
        <w:ind w:left="3365" w:hanging="373"/>
      </w:pPr>
      <w:rPr>
        <w:rFonts w:hint="default"/>
        <w:lang w:val="ru-RU" w:eastAsia="en-US" w:bidi="ar-SA"/>
      </w:rPr>
    </w:lvl>
    <w:lvl w:ilvl="6" w:tplc="C4C09428">
      <w:numFmt w:val="bullet"/>
      <w:lvlText w:val="•"/>
      <w:lvlJc w:val="left"/>
      <w:pPr>
        <w:ind w:left="3934" w:hanging="373"/>
      </w:pPr>
      <w:rPr>
        <w:rFonts w:hint="default"/>
        <w:lang w:val="ru-RU" w:eastAsia="en-US" w:bidi="ar-SA"/>
      </w:rPr>
    </w:lvl>
    <w:lvl w:ilvl="7" w:tplc="5B74FA8C">
      <w:numFmt w:val="bullet"/>
      <w:lvlText w:val="•"/>
      <w:lvlJc w:val="left"/>
      <w:pPr>
        <w:ind w:left="4503" w:hanging="373"/>
      </w:pPr>
      <w:rPr>
        <w:rFonts w:hint="default"/>
        <w:lang w:val="ru-RU" w:eastAsia="en-US" w:bidi="ar-SA"/>
      </w:rPr>
    </w:lvl>
    <w:lvl w:ilvl="8" w:tplc="4F9A517C">
      <w:numFmt w:val="bullet"/>
      <w:lvlText w:val="•"/>
      <w:lvlJc w:val="left"/>
      <w:pPr>
        <w:ind w:left="5072" w:hanging="373"/>
      </w:pPr>
      <w:rPr>
        <w:rFonts w:hint="default"/>
        <w:lang w:val="ru-RU" w:eastAsia="en-US" w:bidi="ar-SA"/>
      </w:rPr>
    </w:lvl>
  </w:abstractNum>
  <w:abstractNum w:abstractNumId="16" w15:restartNumberingAfterBreak="0">
    <w:nsid w:val="364F2FAA"/>
    <w:multiLevelType w:val="multilevel"/>
    <w:tmpl w:val="7B1657B2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7" w15:restartNumberingAfterBreak="0">
    <w:nsid w:val="3A811766"/>
    <w:multiLevelType w:val="multilevel"/>
    <w:tmpl w:val="A9B880C4"/>
    <w:lvl w:ilvl="0">
      <w:start w:val="3"/>
      <w:numFmt w:val="decimal"/>
      <w:lvlText w:val="%1"/>
      <w:lvlJc w:val="left"/>
      <w:pPr>
        <w:ind w:left="143" w:hanging="50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1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7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4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0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5" w:hanging="504"/>
      </w:pPr>
      <w:rPr>
        <w:rFonts w:hint="default"/>
        <w:lang w:val="ru-RU" w:eastAsia="en-US" w:bidi="ar-SA"/>
      </w:rPr>
    </w:lvl>
  </w:abstractNum>
  <w:abstractNum w:abstractNumId="18" w15:restartNumberingAfterBreak="0">
    <w:nsid w:val="3C52515D"/>
    <w:multiLevelType w:val="multilevel"/>
    <w:tmpl w:val="2EC6D5E2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3DB624D1"/>
    <w:multiLevelType w:val="multilevel"/>
    <w:tmpl w:val="23E2F9F4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46782823"/>
    <w:multiLevelType w:val="hybridMultilevel"/>
    <w:tmpl w:val="14B0E510"/>
    <w:lvl w:ilvl="0" w:tplc="2156565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FF90DC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14E5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1A89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5A37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64CB3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72BA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E696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A2E9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4852395B"/>
    <w:multiLevelType w:val="multilevel"/>
    <w:tmpl w:val="16086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4CF34FA1"/>
    <w:multiLevelType w:val="multilevel"/>
    <w:tmpl w:val="1E6095B8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3" w15:restartNumberingAfterBreak="0">
    <w:nsid w:val="5323214B"/>
    <w:multiLevelType w:val="hybridMultilevel"/>
    <w:tmpl w:val="18E200AC"/>
    <w:lvl w:ilvl="0" w:tplc="3530E64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DE840E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83BA1C4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950177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312857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7B5A9EC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1F8F75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0144C4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722076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4" w15:restartNumberingAfterBreak="0">
    <w:nsid w:val="57C15BCB"/>
    <w:multiLevelType w:val="multilevel"/>
    <w:tmpl w:val="99365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25" w15:restartNumberingAfterBreak="0">
    <w:nsid w:val="58464FBB"/>
    <w:multiLevelType w:val="multilevel"/>
    <w:tmpl w:val="FD509644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6" w15:restartNumberingAfterBreak="0">
    <w:nsid w:val="5C0317C0"/>
    <w:multiLevelType w:val="hybridMultilevel"/>
    <w:tmpl w:val="CBAC15E4"/>
    <w:lvl w:ilvl="0" w:tplc="16B45CB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81F402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5FEF9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3205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4803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3AEF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06C5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E45B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F2E0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1"/>
  </w:num>
  <w:num w:numId="4">
    <w:abstractNumId w:val="2"/>
  </w:num>
  <w:num w:numId="5">
    <w:abstractNumId w:val="9"/>
  </w:num>
  <w:num w:numId="6">
    <w:abstractNumId w:val="6"/>
  </w:num>
  <w:num w:numId="7">
    <w:abstractNumId w:val="24"/>
  </w:num>
  <w:num w:numId="8">
    <w:abstractNumId w:val="1"/>
  </w:num>
  <w:num w:numId="9">
    <w:abstractNumId w:val="23"/>
  </w:num>
  <w:num w:numId="10">
    <w:abstractNumId w:val="15"/>
  </w:num>
  <w:num w:numId="11">
    <w:abstractNumId w:val="20"/>
  </w:num>
  <w:num w:numId="12">
    <w:abstractNumId w:val="18"/>
  </w:num>
  <w:num w:numId="13">
    <w:abstractNumId w:val="16"/>
  </w:num>
  <w:num w:numId="14">
    <w:abstractNumId w:val="22"/>
  </w:num>
  <w:num w:numId="15">
    <w:abstractNumId w:val="17"/>
  </w:num>
  <w:num w:numId="16">
    <w:abstractNumId w:val="25"/>
  </w:num>
  <w:num w:numId="17">
    <w:abstractNumId w:val="26"/>
  </w:num>
  <w:num w:numId="18">
    <w:abstractNumId w:val="10"/>
  </w:num>
  <w:num w:numId="19">
    <w:abstractNumId w:val="7"/>
  </w:num>
  <w:num w:numId="20">
    <w:abstractNumId w:val="19"/>
  </w:num>
  <w:num w:numId="21">
    <w:abstractNumId w:val="0"/>
  </w:num>
  <w:num w:numId="22">
    <w:abstractNumId w:val="11"/>
  </w:num>
  <w:num w:numId="23">
    <w:abstractNumId w:val="14"/>
  </w:num>
  <w:num w:numId="24">
    <w:abstractNumId w:val="12"/>
  </w:num>
  <w:num w:numId="25">
    <w:abstractNumId w:val="8"/>
  </w:num>
  <w:num w:numId="26">
    <w:abstractNumId w:val="1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visionView w:inkAnnotation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0B78D-97EF-0E4F-AF1C-BE88BD21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000000"/>
      <w:szCs w:val="2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rPr>
      <w:lang w:eastAsia="zh-CN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/>
      <w:sz w:val="18"/>
      <w:szCs w:val="18"/>
    </w:rPr>
  </w:style>
  <w:style w:type="table" w:styleId="af2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"/>
    <w:next w:val="a"/>
    <w:uiPriority w:val="99"/>
    <w:unhideWhenUsed/>
  </w:style>
  <w:style w:type="paragraph" w:styleId="afc">
    <w:name w:val="Body Text"/>
    <w:basedOn w:val="a"/>
    <w:pPr>
      <w:jc w:val="both"/>
    </w:pPr>
    <w:rPr>
      <w:sz w:val="28"/>
      <w:szCs w:val="20"/>
    </w:rPr>
  </w:style>
  <w:style w:type="paragraph" w:styleId="afd">
    <w:name w:val="Body Text Indent"/>
    <w:basedOn w:val="a"/>
    <w:pPr>
      <w:spacing w:after="120"/>
      <w:ind w:left="283"/>
    </w:p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e">
    <w:name w:val="page number"/>
    <w:basedOn w:val="a0"/>
  </w:style>
  <w:style w:type="paragraph" w:styleId="aff">
    <w:name w:val="Balloon Text"/>
    <w:basedOn w:val="a"/>
    <w:link w:val="aff0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semiHidden/>
    <w:rPr>
      <w:rFonts w:ascii="Segoe UI" w:hAnsi="Segoe UI" w:cs="Segoe UI"/>
      <w:sz w:val="18"/>
      <w:szCs w:val="18"/>
    </w:rPr>
  </w:style>
  <w:style w:type="character" w:styleId="aff1">
    <w:name w:val="annotation reference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link w:val="aff4"/>
    <w:uiPriority w:val="99"/>
    <w:semiHidden/>
    <w:rPr>
      <w:b/>
      <w:bCs/>
    </w:rPr>
  </w:style>
  <w:style w:type="paragraph" w:styleId="aff6">
    <w:name w:val="Revision"/>
    <w:hidden/>
    <w:uiPriority w:val="99"/>
    <w:semiHidden/>
    <w:rPr>
      <w:sz w:val="24"/>
      <w:szCs w:val="24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customStyle="1" w:styleId="14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43" w:firstLine="70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08"/>
    </w:pPr>
    <w:rPr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rPr>
      <w:sz w:val="24"/>
      <w:szCs w:val="24"/>
    </w:rPr>
  </w:style>
  <w:style w:type="character" w:styleId="aff7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9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nergetika@vavilovs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ase@rossetivolga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ossetivolga.ru/ru/o_kompanii/innovatsio/molodezhna/ffor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AB8EB-FADB-41AA-BA20-4CA23EC0B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2123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VI областного конкурса</vt:lpstr>
    </vt:vector>
  </TitlesOfParts>
  <Company>2</Company>
  <LinksUpToDate>false</LinksUpToDate>
  <CharactersWithSpaces>14201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VI областного конкурса</dc:title>
  <dc:creator>608_2</dc:creator>
  <cp:lastModifiedBy>Александров Александр Сергеевич</cp:lastModifiedBy>
  <cp:revision>2</cp:revision>
  <cp:lastPrinted>2026-05-06T11:10:00Z</cp:lastPrinted>
  <dcterms:created xsi:type="dcterms:W3CDTF">2026-08-18T11:44:00Z</dcterms:created>
  <dcterms:modified xsi:type="dcterms:W3CDTF">2026-08-18T11:44:00Z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