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227D" w:rsidRDefault="000E1F6B" w:rsidP="00E4227D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0E1F6B">
        <w:rPr>
          <w:rFonts w:ascii="Times New Roman" w:hAnsi="Times New Roman" w:cs="Times New Roman"/>
          <w:b/>
          <w:sz w:val="24"/>
          <w:szCs w:val="24"/>
        </w:rPr>
        <w:t>Форма 15. Информация о предложении об установлении цен (тарифов) в сфере теплоснабжения</w:t>
      </w:r>
      <w:r w:rsidR="00E4227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E1F6B">
        <w:rPr>
          <w:rFonts w:ascii="Times New Roman" w:hAnsi="Times New Roman" w:cs="Times New Roman"/>
          <w:b/>
          <w:sz w:val="24"/>
          <w:szCs w:val="24"/>
        </w:rPr>
        <w:t xml:space="preserve">на </w:t>
      </w:r>
      <w:r w:rsidR="00E4227D">
        <w:rPr>
          <w:rFonts w:ascii="Times New Roman" w:hAnsi="Times New Roman" w:cs="Times New Roman"/>
          <w:b/>
          <w:sz w:val="24"/>
          <w:szCs w:val="24"/>
        </w:rPr>
        <w:t xml:space="preserve">долгосрочный </w:t>
      </w:r>
      <w:r w:rsidRPr="000E1F6B">
        <w:rPr>
          <w:rFonts w:ascii="Times New Roman" w:hAnsi="Times New Roman" w:cs="Times New Roman"/>
          <w:b/>
          <w:sz w:val="24"/>
          <w:szCs w:val="24"/>
        </w:rPr>
        <w:t>период регулирования</w:t>
      </w:r>
      <w:r w:rsidR="00E4227D">
        <w:rPr>
          <w:rFonts w:ascii="Times New Roman" w:hAnsi="Times New Roman" w:cs="Times New Roman"/>
          <w:b/>
          <w:sz w:val="24"/>
          <w:szCs w:val="24"/>
        </w:rPr>
        <w:t xml:space="preserve"> 2019 - 2023 гг.</w:t>
      </w:r>
      <w:r w:rsidR="00E4227D" w:rsidRPr="00E4227D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0E1F6B" w:rsidRPr="000E1F6B" w:rsidRDefault="00E4227D" w:rsidP="00E4227D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 филиалу ПАО «МРСК Волги» - «Оренбургэнерго»</w:t>
      </w:r>
    </w:p>
    <w:p w:rsidR="000E1F6B" w:rsidRPr="0076098B" w:rsidRDefault="000E1F6B" w:rsidP="000E1F6B">
      <w:pPr>
        <w:spacing w:after="1" w:line="220" w:lineRule="atLeast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85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828"/>
        <w:gridCol w:w="1275"/>
        <w:gridCol w:w="1182"/>
        <w:gridCol w:w="1158"/>
        <w:gridCol w:w="1208"/>
        <w:gridCol w:w="1202"/>
      </w:tblGrid>
      <w:tr w:rsidR="000E1F6B" w:rsidRPr="0076098B" w:rsidTr="00F82393">
        <w:trPr>
          <w:trHeight w:val="253"/>
        </w:trPr>
        <w:tc>
          <w:tcPr>
            <w:tcW w:w="3828" w:type="dxa"/>
          </w:tcPr>
          <w:p w:rsidR="000E1F6B" w:rsidRPr="0076098B" w:rsidRDefault="000E1F6B" w:rsidP="00F93382">
            <w:pPr>
              <w:spacing w:after="1" w:line="2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76098B">
              <w:rPr>
                <w:rFonts w:ascii="Times New Roman" w:hAnsi="Times New Roman" w:cs="Times New Roman"/>
                <w:sz w:val="24"/>
                <w:szCs w:val="24"/>
              </w:rPr>
              <w:t>Предлагаемый метод регулирования</w:t>
            </w:r>
          </w:p>
        </w:tc>
        <w:tc>
          <w:tcPr>
            <w:tcW w:w="6025" w:type="dxa"/>
            <w:gridSpan w:val="5"/>
          </w:tcPr>
          <w:p w:rsidR="000E1F6B" w:rsidRPr="0076098B" w:rsidRDefault="000E1F6B" w:rsidP="00F93382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98B">
              <w:rPr>
                <w:rFonts w:ascii="Times New Roman" w:hAnsi="Times New Roman" w:cs="Times New Roman"/>
                <w:sz w:val="24"/>
                <w:szCs w:val="24"/>
              </w:rPr>
              <w:t>Индексации установленных тарифов</w:t>
            </w:r>
          </w:p>
        </w:tc>
      </w:tr>
      <w:tr w:rsidR="000E1F6B" w:rsidRPr="0076098B" w:rsidTr="00F82393">
        <w:trPr>
          <w:trHeight w:val="423"/>
        </w:trPr>
        <w:tc>
          <w:tcPr>
            <w:tcW w:w="3828" w:type="dxa"/>
            <w:vAlign w:val="center"/>
          </w:tcPr>
          <w:p w:rsidR="000E1F6B" w:rsidRPr="0076098B" w:rsidRDefault="000E1F6B" w:rsidP="00F933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098B">
              <w:rPr>
                <w:rFonts w:ascii="Times New Roman" w:hAnsi="Times New Roman" w:cs="Times New Roman"/>
                <w:sz w:val="24"/>
                <w:szCs w:val="24"/>
              </w:rPr>
              <w:t>Расчетная величина тарифов</w:t>
            </w:r>
            <w:r w:rsidR="00976CA8">
              <w:rPr>
                <w:rFonts w:ascii="Times New Roman" w:hAnsi="Times New Roman" w:cs="Times New Roman"/>
                <w:sz w:val="24"/>
                <w:szCs w:val="24"/>
              </w:rPr>
              <w:t xml:space="preserve"> (руб./Гкал.)</w:t>
            </w:r>
          </w:p>
        </w:tc>
        <w:tc>
          <w:tcPr>
            <w:tcW w:w="1275" w:type="dxa"/>
            <w:vAlign w:val="center"/>
          </w:tcPr>
          <w:p w:rsidR="000E1F6B" w:rsidRPr="0076098B" w:rsidRDefault="00B21437" w:rsidP="00482C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1346,01</w:t>
            </w:r>
          </w:p>
        </w:tc>
        <w:tc>
          <w:tcPr>
            <w:tcW w:w="1182" w:type="dxa"/>
            <w:vAlign w:val="center"/>
          </w:tcPr>
          <w:p w:rsidR="000E1F6B" w:rsidRPr="0076098B" w:rsidRDefault="00B21437" w:rsidP="00482C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1375,03</w:t>
            </w:r>
          </w:p>
        </w:tc>
        <w:tc>
          <w:tcPr>
            <w:tcW w:w="1158" w:type="dxa"/>
            <w:vAlign w:val="center"/>
          </w:tcPr>
          <w:p w:rsidR="000E1F6B" w:rsidRPr="0076098B" w:rsidRDefault="00671F4E" w:rsidP="00482C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1550,55</w:t>
            </w:r>
          </w:p>
        </w:tc>
        <w:tc>
          <w:tcPr>
            <w:tcW w:w="1208" w:type="dxa"/>
            <w:vAlign w:val="center"/>
          </w:tcPr>
          <w:p w:rsidR="000E1F6B" w:rsidRPr="0076098B" w:rsidRDefault="00671F4E" w:rsidP="00482C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1599,97</w:t>
            </w:r>
          </w:p>
        </w:tc>
        <w:tc>
          <w:tcPr>
            <w:tcW w:w="1202" w:type="dxa"/>
            <w:vAlign w:val="center"/>
          </w:tcPr>
          <w:p w:rsidR="000E1F6B" w:rsidRPr="0076098B" w:rsidRDefault="00671F4E" w:rsidP="00482C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1651,45</w:t>
            </w:r>
            <w:bookmarkStart w:id="0" w:name="_GoBack"/>
            <w:bookmarkEnd w:id="0"/>
          </w:p>
        </w:tc>
      </w:tr>
      <w:tr w:rsidR="000E1F6B" w:rsidRPr="0076098B" w:rsidTr="00F82393">
        <w:trPr>
          <w:trHeight w:val="268"/>
        </w:trPr>
        <w:tc>
          <w:tcPr>
            <w:tcW w:w="3828" w:type="dxa"/>
            <w:vAlign w:val="center"/>
          </w:tcPr>
          <w:p w:rsidR="000E1F6B" w:rsidRPr="0076098B" w:rsidRDefault="000E1F6B" w:rsidP="00F933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098B">
              <w:rPr>
                <w:rFonts w:ascii="Times New Roman" w:hAnsi="Times New Roman" w:cs="Times New Roman"/>
                <w:sz w:val="24"/>
                <w:szCs w:val="24"/>
              </w:rPr>
              <w:t>Срок действия тарифов</w:t>
            </w:r>
          </w:p>
        </w:tc>
        <w:tc>
          <w:tcPr>
            <w:tcW w:w="1275" w:type="dxa"/>
            <w:vAlign w:val="center"/>
          </w:tcPr>
          <w:p w:rsidR="000E1F6B" w:rsidRPr="0010652D" w:rsidRDefault="000E1F6B" w:rsidP="00482CF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652D">
              <w:rPr>
                <w:rFonts w:ascii="Times New Roman" w:hAnsi="Times New Roman" w:cs="Times New Roman"/>
                <w:b/>
                <w:sz w:val="24"/>
                <w:szCs w:val="24"/>
              </w:rPr>
              <w:t>2019 год</w:t>
            </w:r>
          </w:p>
        </w:tc>
        <w:tc>
          <w:tcPr>
            <w:tcW w:w="1182" w:type="dxa"/>
            <w:vAlign w:val="center"/>
          </w:tcPr>
          <w:p w:rsidR="000E1F6B" w:rsidRPr="0010652D" w:rsidRDefault="000E1F6B" w:rsidP="00482CF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652D">
              <w:rPr>
                <w:rFonts w:ascii="Times New Roman" w:hAnsi="Times New Roman" w:cs="Times New Roman"/>
                <w:b/>
                <w:sz w:val="24"/>
                <w:szCs w:val="24"/>
              </w:rPr>
              <w:t>2020 год</w:t>
            </w:r>
          </w:p>
        </w:tc>
        <w:tc>
          <w:tcPr>
            <w:tcW w:w="1158" w:type="dxa"/>
            <w:vAlign w:val="center"/>
          </w:tcPr>
          <w:p w:rsidR="000E1F6B" w:rsidRPr="0010652D" w:rsidRDefault="000E1F6B" w:rsidP="00482CF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652D">
              <w:rPr>
                <w:rFonts w:ascii="Times New Roman" w:hAnsi="Times New Roman" w:cs="Times New Roman"/>
                <w:b/>
                <w:sz w:val="24"/>
                <w:szCs w:val="24"/>
              </w:rPr>
              <w:t>2021 год</w:t>
            </w:r>
          </w:p>
        </w:tc>
        <w:tc>
          <w:tcPr>
            <w:tcW w:w="1208" w:type="dxa"/>
            <w:vAlign w:val="center"/>
          </w:tcPr>
          <w:p w:rsidR="000E1F6B" w:rsidRPr="0010652D" w:rsidRDefault="000E1F6B" w:rsidP="00482CF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652D">
              <w:rPr>
                <w:rFonts w:ascii="Times New Roman" w:hAnsi="Times New Roman" w:cs="Times New Roman"/>
                <w:b/>
                <w:sz w:val="24"/>
                <w:szCs w:val="24"/>
              </w:rPr>
              <w:t>2022 год</w:t>
            </w:r>
          </w:p>
        </w:tc>
        <w:tc>
          <w:tcPr>
            <w:tcW w:w="1202" w:type="dxa"/>
            <w:vAlign w:val="center"/>
          </w:tcPr>
          <w:p w:rsidR="000E1F6B" w:rsidRPr="0010652D" w:rsidRDefault="000E1F6B" w:rsidP="00482CF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652D">
              <w:rPr>
                <w:rFonts w:ascii="Times New Roman" w:hAnsi="Times New Roman" w:cs="Times New Roman"/>
                <w:b/>
                <w:sz w:val="24"/>
                <w:szCs w:val="24"/>
              </w:rPr>
              <w:t>2023 год</w:t>
            </w:r>
          </w:p>
        </w:tc>
      </w:tr>
      <w:tr w:rsidR="000E1F6B" w:rsidRPr="0076098B" w:rsidTr="00F82393">
        <w:trPr>
          <w:trHeight w:val="641"/>
        </w:trPr>
        <w:tc>
          <w:tcPr>
            <w:tcW w:w="9853" w:type="dxa"/>
            <w:gridSpan w:val="6"/>
            <w:vAlign w:val="center"/>
          </w:tcPr>
          <w:p w:rsidR="006C78B4" w:rsidRDefault="000E1F6B" w:rsidP="00F933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098B">
              <w:rPr>
                <w:rFonts w:ascii="Times New Roman" w:hAnsi="Times New Roman" w:cs="Times New Roman"/>
                <w:sz w:val="24"/>
                <w:szCs w:val="24"/>
              </w:rPr>
              <w:t>Сведения о долгосрочных параметрах регулирования (в случае если их установление предусмотрено выбранным методом регулирования)</w:t>
            </w:r>
            <w:r w:rsidR="006C78B4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F823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0E1F6B" w:rsidRPr="006C78B4" w:rsidRDefault="00F82393" w:rsidP="006C78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Долгосрочные параметры установлены Приказом Департамента Оренбургской области по ценам и регулированию тарифов №184-т</w:t>
            </w:r>
            <w:r w:rsidRPr="00F82393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э от 11.12.2019г., скорректированы </w:t>
            </w:r>
            <w:proofErr w:type="gramStart"/>
            <w:r w:rsidR="006C78B4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риказом </w:t>
            </w:r>
            <w:r w:rsidR="006C78B4">
              <w:rPr>
                <w:rFonts w:ascii="Times New Roman" w:hAnsi="Times New Roman" w:cs="Times New Roman"/>
                <w:sz w:val="24"/>
                <w:szCs w:val="24"/>
              </w:rPr>
              <w:t xml:space="preserve"> Департамента</w:t>
            </w:r>
            <w:proofErr w:type="gramEnd"/>
            <w:r w:rsidR="006C78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6C78B4">
              <w:rPr>
                <w:rFonts w:ascii="Times New Roman" w:hAnsi="Times New Roman" w:cs="Times New Roman"/>
                <w:sz w:val="24"/>
                <w:szCs w:val="24"/>
              </w:rPr>
              <w:t xml:space="preserve"> 299-т</w:t>
            </w:r>
            <w:r w:rsidR="006C78B4" w:rsidRPr="006C78B4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="006C78B4">
              <w:rPr>
                <w:rFonts w:ascii="Times New Roman" w:hAnsi="Times New Roman" w:cs="Times New Roman"/>
                <w:sz w:val="24"/>
                <w:szCs w:val="24"/>
              </w:rPr>
              <w:t>э от 10.12. 2019 г., Выпиской из протокола  заседания коллегии Департамента №66 от 10.12.2019г.</w:t>
            </w:r>
          </w:p>
        </w:tc>
      </w:tr>
      <w:tr w:rsidR="000E1F6B" w:rsidRPr="0076098B" w:rsidTr="00F82393">
        <w:trPr>
          <w:trHeight w:val="371"/>
        </w:trPr>
        <w:tc>
          <w:tcPr>
            <w:tcW w:w="3828" w:type="dxa"/>
            <w:vAlign w:val="center"/>
          </w:tcPr>
          <w:p w:rsidR="000E1F6B" w:rsidRPr="00482CFD" w:rsidRDefault="000E1F6B" w:rsidP="000E1F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098B">
              <w:rPr>
                <w:rFonts w:ascii="Times New Roman" w:hAnsi="Times New Roman" w:cs="Times New Roman"/>
                <w:sz w:val="24"/>
                <w:szCs w:val="24"/>
              </w:rPr>
              <w:t>Операционные (подконтрольные)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6098B">
              <w:rPr>
                <w:rFonts w:ascii="Times New Roman" w:hAnsi="Times New Roman" w:cs="Times New Roman"/>
                <w:sz w:val="24"/>
                <w:szCs w:val="24"/>
              </w:rPr>
              <w:t>расходы</w:t>
            </w:r>
            <w:r w:rsidR="00482CFD" w:rsidRPr="00482CFD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="00482CFD" w:rsidRPr="00482CFD">
              <w:rPr>
                <w:rFonts w:ascii="Times New Roman" w:hAnsi="Times New Roman" w:cs="Times New Roman"/>
                <w:sz w:val="24"/>
                <w:szCs w:val="24"/>
              </w:rPr>
              <w:t>тыс.руб</w:t>
            </w:r>
            <w:proofErr w:type="spellEnd"/>
            <w:r w:rsidR="00482CFD" w:rsidRPr="00482CFD">
              <w:rPr>
                <w:rFonts w:ascii="Times New Roman" w:hAnsi="Times New Roman" w:cs="Times New Roman"/>
                <w:sz w:val="24"/>
                <w:szCs w:val="24"/>
              </w:rPr>
              <w:t>.)</w:t>
            </w:r>
          </w:p>
        </w:tc>
        <w:tc>
          <w:tcPr>
            <w:tcW w:w="1275" w:type="dxa"/>
            <w:vAlign w:val="center"/>
          </w:tcPr>
          <w:p w:rsidR="000E1F6B" w:rsidRPr="00671F4E" w:rsidRDefault="00B21437" w:rsidP="00482C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1F4E">
              <w:rPr>
                <w:rFonts w:ascii="Times New Roman" w:hAnsi="Times New Roman" w:cs="Times New Roman"/>
                <w:sz w:val="24"/>
                <w:szCs w:val="24"/>
              </w:rPr>
              <w:t>З 627,52</w:t>
            </w:r>
          </w:p>
        </w:tc>
        <w:tc>
          <w:tcPr>
            <w:tcW w:w="1182" w:type="dxa"/>
            <w:vAlign w:val="center"/>
          </w:tcPr>
          <w:p w:rsidR="000E1F6B" w:rsidRPr="00671F4E" w:rsidRDefault="00B21437" w:rsidP="00482C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1F4E">
              <w:rPr>
                <w:rFonts w:ascii="Times New Roman" w:hAnsi="Times New Roman" w:cs="Times New Roman"/>
                <w:sz w:val="24"/>
                <w:szCs w:val="24"/>
              </w:rPr>
              <w:t>3 698,98</w:t>
            </w:r>
          </w:p>
        </w:tc>
        <w:tc>
          <w:tcPr>
            <w:tcW w:w="1158" w:type="dxa"/>
            <w:vAlign w:val="center"/>
          </w:tcPr>
          <w:p w:rsidR="000E1F6B" w:rsidRPr="00671F4E" w:rsidRDefault="00671F4E" w:rsidP="00482C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1F4E">
              <w:rPr>
                <w:rFonts w:ascii="Times New Roman" w:hAnsi="Times New Roman" w:cs="Times New Roman"/>
                <w:sz w:val="24"/>
                <w:szCs w:val="24"/>
              </w:rPr>
              <w:t>3 823,26</w:t>
            </w:r>
          </w:p>
        </w:tc>
        <w:tc>
          <w:tcPr>
            <w:tcW w:w="1208" w:type="dxa"/>
            <w:vAlign w:val="center"/>
          </w:tcPr>
          <w:p w:rsidR="000E1F6B" w:rsidRPr="00671F4E" w:rsidRDefault="00671F4E" w:rsidP="00482C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1F4E">
              <w:rPr>
                <w:rFonts w:ascii="Times New Roman" w:hAnsi="Times New Roman" w:cs="Times New Roman"/>
                <w:sz w:val="24"/>
                <w:szCs w:val="24"/>
              </w:rPr>
              <w:t>3 936, 43</w:t>
            </w:r>
          </w:p>
        </w:tc>
        <w:tc>
          <w:tcPr>
            <w:tcW w:w="1202" w:type="dxa"/>
            <w:vAlign w:val="center"/>
          </w:tcPr>
          <w:p w:rsidR="000E1F6B" w:rsidRPr="00671F4E" w:rsidRDefault="00671F4E" w:rsidP="00482C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1F4E">
              <w:rPr>
                <w:rFonts w:ascii="Times New Roman" w:hAnsi="Times New Roman" w:cs="Times New Roman"/>
                <w:sz w:val="24"/>
                <w:szCs w:val="24"/>
              </w:rPr>
              <w:t>4 052,95</w:t>
            </w:r>
          </w:p>
        </w:tc>
      </w:tr>
      <w:tr w:rsidR="000E1F6B" w:rsidRPr="0076098B" w:rsidTr="00F82393">
        <w:trPr>
          <w:trHeight w:val="555"/>
        </w:trPr>
        <w:tc>
          <w:tcPr>
            <w:tcW w:w="3828" w:type="dxa"/>
            <w:vAlign w:val="center"/>
          </w:tcPr>
          <w:p w:rsidR="000E1F6B" w:rsidRPr="0076098B" w:rsidRDefault="000E1F6B" w:rsidP="00F933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098B">
              <w:rPr>
                <w:rFonts w:ascii="Times New Roman" w:hAnsi="Times New Roman" w:cs="Times New Roman"/>
                <w:sz w:val="24"/>
                <w:szCs w:val="24"/>
              </w:rPr>
              <w:t>Индекс эффективности операционных расходов</w:t>
            </w:r>
          </w:p>
        </w:tc>
        <w:tc>
          <w:tcPr>
            <w:tcW w:w="1275" w:type="dxa"/>
            <w:vAlign w:val="center"/>
          </w:tcPr>
          <w:p w:rsidR="000E1F6B" w:rsidRPr="00671F4E" w:rsidRDefault="000E1F6B" w:rsidP="00482C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1F4E">
              <w:rPr>
                <w:rFonts w:ascii="Times New Roman" w:hAnsi="Times New Roman" w:cs="Times New Roman"/>
                <w:sz w:val="24"/>
                <w:szCs w:val="24"/>
              </w:rPr>
              <w:t>1,00%</w:t>
            </w:r>
          </w:p>
        </w:tc>
        <w:tc>
          <w:tcPr>
            <w:tcW w:w="1182" w:type="dxa"/>
            <w:vAlign w:val="center"/>
          </w:tcPr>
          <w:p w:rsidR="000E1F6B" w:rsidRPr="00671F4E" w:rsidRDefault="000E1F6B" w:rsidP="00482C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1F4E">
              <w:rPr>
                <w:rFonts w:ascii="Times New Roman" w:hAnsi="Times New Roman" w:cs="Times New Roman"/>
                <w:sz w:val="24"/>
                <w:szCs w:val="24"/>
              </w:rPr>
              <w:t>1,00%</w:t>
            </w:r>
          </w:p>
        </w:tc>
        <w:tc>
          <w:tcPr>
            <w:tcW w:w="1158" w:type="dxa"/>
            <w:vAlign w:val="center"/>
          </w:tcPr>
          <w:p w:rsidR="000E1F6B" w:rsidRPr="00671F4E" w:rsidRDefault="000E1F6B" w:rsidP="00482C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1F4E">
              <w:rPr>
                <w:rFonts w:ascii="Times New Roman" w:hAnsi="Times New Roman" w:cs="Times New Roman"/>
                <w:sz w:val="24"/>
                <w:szCs w:val="24"/>
              </w:rPr>
              <w:t>1,00%</w:t>
            </w:r>
          </w:p>
        </w:tc>
        <w:tc>
          <w:tcPr>
            <w:tcW w:w="1208" w:type="dxa"/>
            <w:vAlign w:val="center"/>
          </w:tcPr>
          <w:p w:rsidR="000E1F6B" w:rsidRPr="00671F4E" w:rsidRDefault="000E1F6B" w:rsidP="00482C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1F4E">
              <w:rPr>
                <w:rFonts w:ascii="Times New Roman" w:hAnsi="Times New Roman" w:cs="Times New Roman"/>
                <w:sz w:val="24"/>
                <w:szCs w:val="24"/>
              </w:rPr>
              <w:t>1,00%</w:t>
            </w:r>
          </w:p>
        </w:tc>
        <w:tc>
          <w:tcPr>
            <w:tcW w:w="1202" w:type="dxa"/>
            <w:vAlign w:val="center"/>
          </w:tcPr>
          <w:p w:rsidR="000E1F6B" w:rsidRPr="00671F4E" w:rsidRDefault="000E1F6B" w:rsidP="00482C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1F4E">
              <w:rPr>
                <w:rFonts w:ascii="Times New Roman" w:hAnsi="Times New Roman" w:cs="Times New Roman"/>
                <w:sz w:val="24"/>
                <w:szCs w:val="24"/>
              </w:rPr>
              <w:t>1,00%</w:t>
            </w:r>
          </w:p>
        </w:tc>
      </w:tr>
      <w:tr w:rsidR="000E1F6B" w:rsidRPr="0076098B" w:rsidTr="00F82393">
        <w:trPr>
          <w:trHeight w:val="791"/>
        </w:trPr>
        <w:tc>
          <w:tcPr>
            <w:tcW w:w="3828" w:type="dxa"/>
            <w:vAlign w:val="center"/>
          </w:tcPr>
          <w:p w:rsidR="000E1F6B" w:rsidRPr="0076098B" w:rsidRDefault="000E1F6B" w:rsidP="00F933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098B">
              <w:rPr>
                <w:rFonts w:ascii="Times New Roman" w:hAnsi="Times New Roman" w:cs="Times New Roman"/>
                <w:sz w:val="24"/>
                <w:szCs w:val="24"/>
              </w:rPr>
              <w:t>Сведения о необходимой валовой выручке на соответствующий период, в том числе с разбивкой по годам</w:t>
            </w:r>
            <w:r w:rsidR="00482CFD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="00482CFD">
              <w:rPr>
                <w:rFonts w:ascii="Times New Roman" w:hAnsi="Times New Roman" w:cs="Times New Roman"/>
                <w:sz w:val="24"/>
                <w:szCs w:val="24"/>
              </w:rPr>
              <w:t>тыс.руб</w:t>
            </w:r>
            <w:proofErr w:type="spellEnd"/>
            <w:r w:rsidR="00482CFD">
              <w:rPr>
                <w:rFonts w:ascii="Times New Roman" w:hAnsi="Times New Roman" w:cs="Times New Roman"/>
                <w:sz w:val="24"/>
                <w:szCs w:val="24"/>
              </w:rPr>
              <w:t>.)</w:t>
            </w:r>
          </w:p>
        </w:tc>
        <w:tc>
          <w:tcPr>
            <w:tcW w:w="1275" w:type="dxa"/>
            <w:vAlign w:val="center"/>
          </w:tcPr>
          <w:p w:rsidR="000E1F6B" w:rsidRPr="00671F4E" w:rsidRDefault="00F82393" w:rsidP="00482C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1F4E">
              <w:rPr>
                <w:rFonts w:ascii="Times New Roman" w:hAnsi="Times New Roman" w:cs="Times New Roman"/>
                <w:sz w:val="24"/>
                <w:szCs w:val="24"/>
              </w:rPr>
              <w:t>12 484б,28</w:t>
            </w:r>
          </w:p>
        </w:tc>
        <w:tc>
          <w:tcPr>
            <w:tcW w:w="1182" w:type="dxa"/>
            <w:vAlign w:val="center"/>
          </w:tcPr>
          <w:p w:rsidR="000E1F6B" w:rsidRPr="00671F4E" w:rsidRDefault="00F82393" w:rsidP="00482C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1F4E">
              <w:rPr>
                <w:rFonts w:ascii="Times New Roman" w:hAnsi="Times New Roman" w:cs="Times New Roman"/>
                <w:sz w:val="24"/>
                <w:szCs w:val="24"/>
              </w:rPr>
              <w:t>13 920, 40</w:t>
            </w:r>
          </w:p>
        </w:tc>
        <w:tc>
          <w:tcPr>
            <w:tcW w:w="1158" w:type="dxa"/>
            <w:vAlign w:val="center"/>
          </w:tcPr>
          <w:p w:rsidR="000E1F6B" w:rsidRPr="00671F4E" w:rsidRDefault="00671F4E" w:rsidP="00482C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1F4E">
              <w:rPr>
                <w:rFonts w:ascii="Times New Roman" w:hAnsi="Times New Roman" w:cs="Times New Roman"/>
                <w:sz w:val="24"/>
                <w:szCs w:val="24"/>
              </w:rPr>
              <w:t>12 943,38</w:t>
            </w:r>
          </w:p>
        </w:tc>
        <w:tc>
          <w:tcPr>
            <w:tcW w:w="1208" w:type="dxa"/>
            <w:vAlign w:val="center"/>
          </w:tcPr>
          <w:p w:rsidR="000E1F6B" w:rsidRPr="00671F4E" w:rsidRDefault="00671F4E" w:rsidP="00482C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1F4E">
              <w:rPr>
                <w:rFonts w:ascii="Times New Roman" w:hAnsi="Times New Roman" w:cs="Times New Roman"/>
                <w:sz w:val="24"/>
                <w:szCs w:val="24"/>
              </w:rPr>
              <w:t>13 192,86</w:t>
            </w:r>
          </w:p>
        </w:tc>
        <w:tc>
          <w:tcPr>
            <w:tcW w:w="1202" w:type="dxa"/>
            <w:vAlign w:val="center"/>
          </w:tcPr>
          <w:p w:rsidR="000E1F6B" w:rsidRPr="00671F4E" w:rsidRDefault="00671F4E" w:rsidP="00482C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1F4E">
              <w:rPr>
                <w:rFonts w:ascii="Times New Roman" w:hAnsi="Times New Roman" w:cs="Times New Roman"/>
                <w:sz w:val="24"/>
                <w:szCs w:val="24"/>
              </w:rPr>
              <w:t>13 455,12</w:t>
            </w:r>
          </w:p>
        </w:tc>
      </w:tr>
      <w:tr w:rsidR="006C78B4" w:rsidRPr="0076098B" w:rsidTr="006C78B4">
        <w:trPr>
          <w:trHeight w:val="522"/>
        </w:trPr>
        <w:tc>
          <w:tcPr>
            <w:tcW w:w="3828" w:type="dxa"/>
            <w:vAlign w:val="center"/>
          </w:tcPr>
          <w:p w:rsidR="006C78B4" w:rsidRPr="0076098B" w:rsidRDefault="006C78B4" w:rsidP="006C78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098B">
              <w:rPr>
                <w:rFonts w:ascii="Times New Roman" w:hAnsi="Times New Roman" w:cs="Times New Roman"/>
                <w:sz w:val="24"/>
                <w:szCs w:val="24"/>
              </w:rPr>
              <w:t>Годовой объем полезного отпуска тепловой энергии (теплоносителя)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тыс.Гкал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.)</w:t>
            </w:r>
          </w:p>
        </w:tc>
        <w:tc>
          <w:tcPr>
            <w:tcW w:w="1275" w:type="dxa"/>
            <w:vAlign w:val="center"/>
          </w:tcPr>
          <w:p w:rsidR="006C78B4" w:rsidRPr="00671F4E" w:rsidRDefault="006C78B4" w:rsidP="006C78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1F4E">
              <w:rPr>
                <w:rFonts w:ascii="Times New Roman" w:hAnsi="Times New Roman" w:cs="Times New Roman"/>
                <w:sz w:val="24"/>
                <w:szCs w:val="24"/>
              </w:rPr>
              <w:t>9,275</w:t>
            </w:r>
          </w:p>
        </w:tc>
        <w:tc>
          <w:tcPr>
            <w:tcW w:w="1182" w:type="dxa"/>
            <w:vAlign w:val="center"/>
          </w:tcPr>
          <w:p w:rsidR="006C78B4" w:rsidRPr="00671F4E" w:rsidRDefault="006C78B4" w:rsidP="006C78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1F4E">
              <w:rPr>
                <w:rFonts w:ascii="Times New Roman" w:hAnsi="Times New Roman" w:cs="Times New Roman"/>
                <w:sz w:val="24"/>
                <w:szCs w:val="24"/>
              </w:rPr>
              <w:t>9,275</w:t>
            </w:r>
          </w:p>
        </w:tc>
        <w:tc>
          <w:tcPr>
            <w:tcW w:w="1158" w:type="dxa"/>
            <w:vAlign w:val="center"/>
          </w:tcPr>
          <w:p w:rsidR="006C78B4" w:rsidRPr="00671F4E" w:rsidRDefault="006C78B4" w:rsidP="006C78B4">
            <w:r w:rsidRPr="00671F4E">
              <w:rPr>
                <w:rFonts w:ascii="Times New Roman" w:hAnsi="Times New Roman" w:cs="Times New Roman"/>
                <w:sz w:val="24"/>
                <w:szCs w:val="24"/>
              </w:rPr>
              <w:t>9,275</w:t>
            </w:r>
          </w:p>
        </w:tc>
        <w:tc>
          <w:tcPr>
            <w:tcW w:w="1208" w:type="dxa"/>
            <w:vAlign w:val="center"/>
          </w:tcPr>
          <w:p w:rsidR="006C78B4" w:rsidRPr="00671F4E" w:rsidRDefault="006C78B4" w:rsidP="006C78B4">
            <w:r w:rsidRPr="00671F4E">
              <w:rPr>
                <w:rFonts w:ascii="Times New Roman" w:hAnsi="Times New Roman" w:cs="Times New Roman"/>
                <w:sz w:val="24"/>
                <w:szCs w:val="24"/>
              </w:rPr>
              <w:t>9,275</w:t>
            </w:r>
          </w:p>
        </w:tc>
        <w:tc>
          <w:tcPr>
            <w:tcW w:w="1202" w:type="dxa"/>
            <w:vAlign w:val="center"/>
          </w:tcPr>
          <w:p w:rsidR="006C78B4" w:rsidRPr="00671F4E" w:rsidRDefault="006C78B4" w:rsidP="006C78B4">
            <w:r w:rsidRPr="00671F4E">
              <w:rPr>
                <w:rFonts w:ascii="Times New Roman" w:hAnsi="Times New Roman" w:cs="Times New Roman"/>
                <w:sz w:val="24"/>
                <w:szCs w:val="24"/>
              </w:rPr>
              <w:t>9,275</w:t>
            </w:r>
          </w:p>
        </w:tc>
      </w:tr>
      <w:tr w:rsidR="000E1F6B" w:rsidRPr="0076098B" w:rsidTr="00F82393">
        <w:trPr>
          <w:trHeight w:val="1790"/>
        </w:trPr>
        <w:tc>
          <w:tcPr>
            <w:tcW w:w="3828" w:type="dxa"/>
            <w:vAlign w:val="center"/>
          </w:tcPr>
          <w:p w:rsidR="000E1F6B" w:rsidRPr="0076098B" w:rsidRDefault="000E1F6B" w:rsidP="00F9338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098B">
              <w:rPr>
                <w:rFonts w:ascii="Times New Roman" w:hAnsi="Times New Roman" w:cs="Times New Roman"/>
                <w:sz w:val="24"/>
                <w:szCs w:val="24"/>
              </w:rPr>
              <w:t>Размер экономически обоснованных расходов, не учтенных при регулировании тарифов в предыдущий период регулирования (при их наличии), определенном в соответствии с законодательством Российской Федерации</w:t>
            </w:r>
          </w:p>
        </w:tc>
        <w:tc>
          <w:tcPr>
            <w:tcW w:w="1275" w:type="dxa"/>
            <w:vAlign w:val="center"/>
          </w:tcPr>
          <w:p w:rsidR="000E1F6B" w:rsidRPr="0076098B" w:rsidRDefault="000E1F6B" w:rsidP="00482C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98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82" w:type="dxa"/>
            <w:vAlign w:val="center"/>
          </w:tcPr>
          <w:p w:rsidR="000E1F6B" w:rsidRPr="0076098B" w:rsidRDefault="000E1F6B" w:rsidP="00482C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98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58" w:type="dxa"/>
            <w:vAlign w:val="center"/>
          </w:tcPr>
          <w:p w:rsidR="000E1F6B" w:rsidRPr="0076098B" w:rsidRDefault="000E1F6B" w:rsidP="00482C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98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08" w:type="dxa"/>
            <w:vAlign w:val="center"/>
          </w:tcPr>
          <w:p w:rsidR="000E1F6B" w:rsidRPr="0076098B" w:rsidRDefault="000E1F6B" w:rsidP="00482C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98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02" w:type="dxa"/>
            <w:vAlign w:val="center"/>
          </w:tcPr>
          <w:p w:rsidR="000E1F6B" w:rsidRPr="0076098B" w:rsidRDefault="000E1F6B" w:rsidP="00482C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98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:rsidR="000E1F6B" w:rsidRPr="0076098B" w:rsidRDefault="000E1F6B" w:rsidP="000E1F6B">
      <w:pPr>
        <w:spacing w:after="1" w:line="220" w:lineRule="atLeast"/>
        <w:rPr>
          <w:rFonts w:ascii="Times New Roman" w:hAnsi="Times New Roman" w:cs="Times New Roman"/>
          <w:sz w:val="24"/>
          <w:szCs w:val="24"/>
        </w:rPr>
      </w:pPr>
    </w:p>
    <w:p w:rsidR="000232AE" w:rsidRDefault="000232AE"/>
    <w:sectPr w:rsidR="000232AE" w:rsidSect="00352588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2526"/>
    <w:rsid w:val="000232AE"/>
    <w:rsid w:val="000E1F6B"/>
    <w:rsid w:val="0010652D"/>
    <w:rsid w:val="00352588"/>
    <w:rsid w:val="00432526"/>
    <w:rsid w:val="00437325"/>
    <w:rsid w:val="00482CFD"/>
    <w:rsid w:val="00671F4E"/>
    <w:rsid w:val="006C78B4"/>
    <w:rsid w:val="00976CA8"/>
    <w:rsid w:val="00B21437"/>
    <w:rsid w:val="00E4227D"/>
    <w:rsid w:val="00E930EB"/>
    <w:rsid w:val="00F823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11CFB6E-CE4C-4056-8D6E-C5767A55BA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E1F6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930E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930E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219</Words>
  <Characters>1253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МРСК Волги</Company>
  <LinksUpToDate>false</LinksUpToDate>
  <CharactersWithSpaces>1470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Горбунова Лариса Ивановна</dc:creator>
  <cp:keywords/>
  <dc:description/>
  <cp:lastModifiedBy>Неверова Галина Владимировна</cp:lastModifiedBy>
  <cp:revision>3</cp:revision>
  <cp:lastPrinted>2018-05-07T04:30:00Z</cp:lastPrinted>
  <dcterms:created xsi:type="dcterms:W3CDTF">2020-04-08T03:46:00Z</dcterms:created>
  <dcterms:modified xsi:type="dcterms:W3CDTF">2020-05-08T05:51:00Z</dcterms:modified>
</cp:coreProperties>
</file>